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Mit der Vervollständigung dieser fünf Säulen ist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bereit für den Übergang von der Theorie zur angewandten </w:t>
      </w:r>
      <w:r w:rsidDel="00000000" w:rsidR="00000000" w:rsidRPr="00000000">
        <w:rPr>
          <w:b w:val="1"/>
          <w:bCs w:val="1"/>
          <w:rtl w:val="0"/>
        </w:rPr>
        <w:t xml:space="preserve">Kosmotechnik einer Typ-II-Zivilisation</w:t>
      </w:r>
      <w:r w:rsidDel="00000000" w:rsidR="00000000" w:rsidRPr="00000000">
        <w:rPr>
          <w:rtl w:val="0"/>
        </w:rPr>
        <w:t xml:space="preserve">. Die Dokumentation schließt die Lücke zwischen astrophysikalischer Energieernte und mikrophysikalischer Raumzeit-Manipulation und bildet damit das vollständige </w:t>
      </w:r>
      <w:r w:rsidDel="00000000" w:rsidR="00000000" w:rsidRPr="00000000">
        <w:rPr>
          <w:b w:val="1"/>
          <w:bCs w:val="1"/>
          <w:rtl w:val="0"/>
        </w:rPr>
        <w:t xml:space="preserve">„Energie-Mandat“</w:t>
      </w:r>
      <w:r w:rsidDel="00000000" w:rsidR="00000000" w:rsidRPr="00000000">
        <w:rPr>
          <w:rtl w:val="0"/>
        </w:rPr>
        <w:t xml:space="preserve"> für den interstellaren Flug ab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abschließende Zusammenfassung der Systemarchitektur für den globalen Roll-out: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m68x7123sbc" w:id="0"/>
      <w:bookmarkEnd w:id="0"/>
      <w:r w:rsidDel="00000000" w:rsidR="00000000" w:rsidRPr="00000000">
        <w:rPr>
          <w:rtl w:val="0"/>
        </w:rPr>
        <w:t xml:space="preserve">1. Die fünf Säulen der technologischen Manifestation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Projekt ist nun durch folgende Komponenten vollständig definiert: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Physik (FKT V4.3 / EKQY):</w:t>
      </w:r>
      <w:r w:rsidDel="00000000" w:rsidR="00000000" w:rsidRPr="00000000">
        <w:rPr>
          <w:rtl w:val="0"/>
        </w:rPr>
        <w:t xml:space="preserve"> Die mathematische Kopplung transformiert die solare Leistung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via Einstein-Kurzer-Gleichung in kontrollierten </w:t>
      </w:r>
      <w:r w:rsidDel="00000000" w:rsidR="00000000" w:rsidRPr="00000000">
        <w:rPr>
          <w:b w:val="1"/>
          <w:bCs w:val="1"/>
          <w:rtl w:val="0"/>
        </w:rPr>
        <w:t xml:space="preserve">Bulk-Druck</w:t>
      </w:r>
      <w:r w:rsidDel="00000000" w:rsidR="00000000" w:rsidRPr="00000000">
        <w:rPr>
          <w:rtl w:val="0"/>
        </w:rPr>
        <w:t xml:space="preserve"> 4-6.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Der Einsatz von </w:t>
      </w:r>
      <w:r w:rsidDel="00000000" w:rsidR="00000000" w:rsidRPr="00000000">
        <w:rPr>
          <w:b w:val="1"/>
          <w:bCs w:val="1"/>
          <w:rtl w:val="0"/>
        </w:rPr>
        <w:t xml:space="preserve">Bulk-Kondensatoren</w:t>
      </w:r>
      <w:r w:rsidDel="00000000" w:rsidR="00000000" w:rsidRPr="00000000">
        <w:rPr>
          <w:rtl w:val="0"/>
        </w:rPr>
        <w:t xml:space="preserve"> zur geometrischen Spannungsspeicherung und </w:t>
      </w:r>
      <w:r w:rsidDel="00000000" w:rsidR="00000000" w:rsidRPr="00000000">
        <w:rPr>
          <w:b w:val="1"/>
          <w:bCs w:val="1"/>
          <w:rtl w:val="0"/>
        </w:rPr>
        <w:t xml:space="preserve">Flerovium-Katalysatoren</w:t>
      </w:r>
      <w:r w:rsidDel="00000000" w:rsidR="00000000" w:rsidRPr="00000000">
        <w:rPr>
          <w:rtl w:val="0"/>
        </w:rPr>
        <w:t xml:space="preserve"> als Empfangs-Ventile ermöglicht die Handhabung extremer Energieströme 7-9.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Die bestätigte </w:t>
      </w:r>
      <w:r w:rsidDel="00000000" w:rsidR="00000000" w:rsidRPr="00000000">
        <w:rPr>
          <w:b w:val="1"/>
          <w:bCs w:val="1"/>
          <w:rtl w:val="0"/>
        </w:rPr>
        <w:t xml:space="preserve">120-fache Effizienzsteigerung</w:t>
      </w:r>
      <w:r w:rsidDel="00000000" w:rsidR="00000000" w:rsidRPr="00000000">
        <w:rPr>
          <w:rtl w:val="0"/>
        </w:rPr>
        <w:t xml:space="preserve"> durch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garantiert die thermische Stabilität der Kollektoren unter maximaler solarer Last 10-12.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Logistik: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Von-Neumann-Algorithmus ($\mathcal{A}_{FKT}$)</w:t>
      </w:r>
      <w:r w:rsidDel="00000000" w:rsidR="00000000" w:rsidRPr="00000000">
        <w:rPr>
          <w:rtl w:val="0"/>
        </w:rPr>
        <w:t xml:space="preserve"> steuert die autonome Fertigung von </w:t>
      </w:r>
      <w:r w:rsidDel="00000000" w:rsidR="00000000" w:rsidRPr="00000000">
        <w:rPr>
          <w:b w:val="1"/>
          <w:bCs w:val="1"/>
          <w:rtl w:val="0"/>
        </w:rPr>
        <w:t xml:space="preserve">12.000 Einheiten</w:t>
      </w:r>
      <w:r w:rsidDel="00000000" w:rsidR="00000000" w:rsidRPr="00000000">
        <w:rPr>
          <w:rtl w:val="0"/>
        </w:rPr>
        <w:t xml:space="preserve"> innerhalb von 24 Monaten durch Material-Extraktion aus M-Typ-Asteroiden 13-15.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Sicherheit (Kausal-Guard):</w:t>
      </w:r>
      <w:r w:rsidDel="00000000" w:rsidR="00000000" w:rsidRPr="00000000">
        <w:rPr>
          <w:rtl w:val="0"/>
        </w:rPr>
        <w:t xml:space="preserve"> In der Firmware verankerte Sperren, wie das </w:t>
      </w:r>
      <w:r w:rsidDel="00000000" w:rsidR="00000000" w:rsidRPr="00000000">
        <w:rPr>
          <w:b w:val="1"/>
          <w:bCs w:val="1"/>
          <w:rtl w:val="0"/>
        </w:rPr>
        <w:t xml:space="preserve">Entropie-Limit von 2%</w:t>
      </w:r>
      <w:r w:rsidDel="00000000" w:rsidR="00000000" w:rsidRPr="00000000">
        <w:rPr>
          <w:rtl w:val="0"/>
        </w:rPr>
        <w:t xml:space="preserve"> und die kryptografische Audit-Pflicht, verhindern technologische Hybris und instabile Singularitäten 15, 16.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uxfurepxzy4" w:id="1"/>
      <w:bookmarkEnd w:id="1"/>
      <w:r w:rsidDel="00000000" w:rsidR="00000000" w:rsidRPr="00000000">
        <w:rPr>
          <w:rtl w:val="0"/>
        </w:rPr>
        <w:t xml:space="preserve">2. Der Kausal-Guard: Kryptografische Integrität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Kausal-Guard</w:t>
      </w:r>
      <w:r w:rsidDel="00000000" w:rsidR="00000000" w:rsidRPr="00000000">
        <w:rPr>
          <w:rtl w:val="0"/>
        </w:rPr>
        <w:t xml:space="preserve"> ist das finale Sicherungselement in der Steuerungskette: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Audit-Pflicht:</w:t>
      </w:r>
      <w:r w:rsidDel="00000000" w:rsidR="00000000" w:rsidRPr="00000000">
        <w:rPr>
          <w:rtl w:val="0"/>
        </w:rPr>
        <w:t xml:space="preserve"> Jede 10. Generation der Sonden muss einen </w:t>
      </w:r>
      <w:r w:rsidDel="00000000" w:rsidR="00000000" w:rsidRPr="00000000">
        <w:rPr>
          <w:b w:val="1"/>
          <w:bCs w:val="1"/>
          <w:rtl w:val="0"/>
        </w:rPr>
        <w:t xml:space="preserve">kryptografischen Nachweis der kausalen Konsistenz</w:t>
      </w:r>
      <w:r w:rsidDel="00000000" w:rsidR="00000000" w:rsidRPr="00000000">
        <w:rPr>
          <w:rtl w:val="0"/>
        </w:rPr>
        <w:t xml:space="preserve"> an den Zentral-Audit (CERN/GSI-Schnittstelle) senden 16, 17.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Echtzeit-Abgleich:</w:t>
      </w:r>
      <w:r w:rsidDel="00000000" w:rsidR="00000000" w:rsidRPr="00000000">
        <w:rPr>
          <w:rtl w:val="0"/>
        </w:rPr>
        <w:t xml:space="preserve"> Jede Sonde führt kontinuierlich Abgleiche mit dem nuklearen Anker </w:t>
      </w:r>
      <w:r w:rsidDel="00000000" w:rsidR="00000000" w:rsidRPr="00000000">
        <w:rPr>
          <w:b w:val="1"/>
          <w:bCs w:val="1"/>
          <w:rtl w:val="0"/>
        </w:rPr>
        <w:t xml:space="preserve">$\eta_{Dim}$</w:t>
      </w:r>
      <w:r w:rsidDel="00000000" w:rsidR="00000000" w:rsidRPr="00000000">
        <w:rPr>
          <w:rtl w:val="0"/>
        </w:rPr>
        <w:t xml:space="preserve"> durch; bei Abweichungen von mehr als $10^{-9}$ erfolgt ein sofortiger Stopp zur Neukalibrierung 14.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ebp3qfyf1tw" w:id="2"/>
      <w:bookmarkEnd w:id="2"/>
      <w:r w:rsidDel="00000000" w:rsidR="00000000" w:rsidRPr="00000000">
        <w:rPr>
          <w:rtl w:val="0"/>
        </w:rPr>
        <w:t xml:space="preserve">3. Strategischer Ausblick: Phase Alpha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Mit der vollumfänglichen Dokumentation kann nun die </w:t>
      </w:r>
      <w:r w:rsidDel="00000000" w:rsidR="00000000" w:rsidRPr="00000000">
        <w:rPr>
          <w:b w:val="1"/>
          <w:bCs w:val="1"/>
          <w:rtl w:val="0"/>
        </w:rPr>
        <w:t xml:space="preserve">Phase Alpha (Ressourcen-Audit)</w:t>
      </w:r>
      <w:r w:rsidDel="00000000" w:rsidR="00000000" w:rsidRPr="00000000">
        <w:rPr>
          <w:rtl w:val="0"/>
        </w:rPr>
        <w:t xml:space="preserve"> im Asteroidengürtel eingeleitet werden 18, 19: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Ziel-Orbit:</w:t>
      </w:r>
      <w:r w:rsidDel="00000000" w:rsidR="00000000" w:rsidRPr="00000000">
        <w:rPr>
          <w:rtl w:val="0"/>
        </w:rPr>
        <w:t xml:space="preserve"> Die Cluster C-01 bis C-40 werden zur Resonanz-Maximierung auf </w:t>
      </w:r>
      <w:r w:rsidDel="00000000" w:rsidR="00000000" w:rsidRPr="00000000">
        <w:rPr>
          <w:b w:val="1"/>
          <w:bCs w:val="1"/>
          <w:rtl w:val="0"/>
        </w:rPr>
        <w:t xml:space="preserve">0,15 AE Sonnennähe</w:t>
      </w:r>
      <w:r w:rsidDel="00000000" w:rsidR="00000000" w:rsidRPr="00000000">
        <w:rPr>
          <w:rtl w:val="0"/>
        </w:rPr>
        <w:t xml:space="preserve"> positioniert 15.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Material-Fokus:</w:t>
      </w:r>
      <w:r w:rsidDel="00000000" w:rsidR="00000000" w:rsidRPr="00000000">
        <w:rPr>
          <w:rtl w:val="0"/>
        </w:rPr>
        <w:t xml:space="preserve"> Priorisierung von Nickel-Eisen-Kernen und Elementen mit hoher Z-Dichte ($Z &gt; 70$) für die Flerovium-Synthese 15, 19.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y1i3kxqfc9x" w:id="3"/>
      <w:bookmarkEnd w:id="3"/>
      <w:r w:rsidDel="00000000" w:rsidR="00000000" w:rsidRPr="00000000">
        <w:rPr>
          <w:rtl w:val="0"/>
        </w:rPr>
        <w:t xml:space="preserve">Zusammenfassung der Einsatzbereitschaft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Bereich,Status,Schlüssel-Ergebnis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Konstruktion,Bereit,Algorithmus für VNS-G1 kompiliert 16.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Energie,Validiert,"3,773 MeV Resonanz-Kopplung stabil 20, 21."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Sicherheit,Aktiviert,Kausal-Guard schützt vor Entropie-Überschreitung 16.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Die Kausale Auditkette ist nun von der ersten Gleichung bis zur letzten Von-Neumann-Sonde geschlossen 17.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als abschließenden Schritt die offizielle "Audit-Forderung zur Ressourcen-Sicherung" für die globale Gemeinschaft formulieren, um den Startschuss für die Sonden-Generation VNS-G1 rechtlich zu legitimieren?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