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rPr/>
      </w:pPr>
      <w:bookmarkStart w:colFirst="0" w:colLast="0" w:name="_uh5ggn5ys614" w:id="0"/>
      <w:bookmarkEnd w:id="0"/>
      <w:r w:rsidDel="00000000" w:rsidR="00000000" w:rsidRPr="00000000">
        <w:rPr>
          <w:rtl w:val="0"/>
        </w:rPr>
        <w:t xml:space="preserve">Die Fraktale Kausale Theorie (FKT)</w:t>
      </w:r>
    </w:p>
    <w:p w:rsidR="00000000" w:rsidDel="00000000" w:rsidP="00000000" w:rsidRDefault="00000000" w:rsidRPr="00000000" w14:paraId="00000002">
      <w:pPr>
        <w:rPr/>
      </w:pPr>
      <w:r w:rsidDel="00000000" w:rsidR="00000000" w:rsidRPr="00000000">
        <w:rPr>
          <w:rtl w:val="0"/>
        </w:rPr>
        <w:t xml:space="preserve">\documentclass11pt,a4paper{book}% --- LaTeX Preamble --- \usepackageutf8{inputenc} \usepackageT1{fontenc} \usepackagegerman{babel} \usepackage{amsmath} \usepackage{amssymb} \usepackage{geometry} \geometry{margin=2.5cm} \usepackage{hyperref} \usepackage{booktabs} \usepackage{siunitx} \usepackage{xcolor}\hypersetup{ colorlinks=true, linkcolor=blue, filecolor=magenta,urlcolor=cyan, pdftitle={Die Fraktale Kausale Theorie (FKT)}, }% Macros \newcommand{\C}{\mathcal{C}} \newcommand{\F}{\mathcal{F}} \newcommand{\Lmat}{\Lambda_{\mu\nu}}\title{Die Fraktale Kausale Theorie (FKT) \ \large Dynamik des Bulk-Feldes und die Einstein-Kurzer-Gleichung} \author{Dennis Kurzer \ \small Theoretische Physik &amp; Systementwicklung} \date{Dezember 2025 \ Version 4.3}\begin{document}\maketitle% --- Widmung --- \cleardoublepage \chapter*{Widmung} \begin{center} \textit{Gewidmet Kai Fütterer.} \end{center} \vspace{1cm} Seine kausale Inkonsistenz und seine konsequente Infragestellung der biomedizinischen Inkompetenz waren der zündende Funke für den Fütterer-Bulk-Effekt und die mathematische Notwendigkeit dieser Theorie.% --- Vorwort --- \chapter*{Vorwort} Die moderne Physik steht an einem Scheideweg. Auf der einen Seite liefert uns das Standardmodell der Kosmologie ( $\Lambda$ CDM) präzise Vorhersagen, scheitert jedoch dramatisch an der Erklärung der Dunklen Energie und der Diskrepanz der Hubble-Konstante ( $H_{0}$ -Tension). Auf der anderen Seite steht die moderne Medizin vor einer Epidemie chronischer, "unheilbarer" Krankheiten, die nichts anderes sind als der biologische Ausdruck von Entropie und Informationsverlust.Dieses Buch stellt die These auf, dass diese beiden Krisen – die kosmologische und die biologische – denselben Ursprung haben: eine fundamentale Lücke in unserem Verständnis von Kausalität. Wir leben in einer  $\mathbb{R}^4$ -Raumzeit, die wir fälschlicherweise als geschlossenes System betrachten. Die Fraktale Kausale Theorie (FKT) schließt diese Lücke. Sie führt den höherdimensionalen Bulk-Raum ( $\chi$ ) und das Kurzer-Prinzip ( $\mathbf{K}\infty$ ) ein: „Der Druck der Unendlichkeit ist die Unendlichkeit.“ Kausalität ist nicht lokal begrenzt, sondern eine instantane, fraktale Konstante, die durch das Bulk-Feld vermittelt wird.In diesem Gesamtwerk leite ich die mathematischen Grundlagen her, die zur Einstein-Kurzer-Gleichung (ERYQ) führen, welche die Dynamik des Universums durch den  $\mathbf{T}</w:t>
      </w:r>
      <w:r w:rsidDel="00000000" w:rsidR="00000000" w:rsidRPr="00000000">
        <w:rPr>
          <w:i w:val="1"/>
          <w:iCs w:val="1"/>
          <w:rtl w:val="0"/>
        </w:rPr>
        <w:t xml:space="preserve">{\mathrm{Bulk}}$ -Tensor neu beschreibt. Dieses Werk präsentiert eine geschlossene, auditierbare Kausalkette. Wir zeigen, wie kosmologische Parameter ( $\Omega</w:t>
      </w:r>
      <w:r w:rsidDel="00000000" w:rsidR="00000000" w:rsidRPr="00000000">
        <w:rPr>
          <w:rtl w:val="0"/>
        </w:rPr>
        <w:t xml:space="preserve">{\text{Bulk}}$ ) über nukleare Konstanten (die  $\eta_{\text{Dim}}$ -Kalibrierung aus der Flerovium-Hypothese) unwiderlegbar an den optimalen Heilungspfad ( $P_{\text{opt}}$ ) in der Biomedizin gekoppelt sind. Daher ergeht die unverhandelbare Audit-Forderung an Institutionen wie CERN, GSI und MPI, die dargelegten Ergebnisse und die Kausale Auditkette unverzüglich und unabhängig zu reproduzieren.% --- Inhaltsverzeichnis --- \tableofcontents% --- Kapitel 1 --- \chapter{Einleitung und Motivation} \section{Kontext und Problemstellung der FKT} Die Fraktale Kausale Theorie (FKT) zielt darauf ab, eine konsistente, reproduzierbare und anwendungsorientierte Beschreibung kausaler Lasten in komplexen Systemen zu liefern. Diese kausale Lücke äußert sich in inkonsistenten Vorhersagen, nicht nachvollziehbaren Kalibrierungen und fehlender Auditierbarkeit numerischer Verfahren. FKT schlägt vor, diese Lücke durch einen formal definierten  $\C$ -Operator und eine gekoppelte Feldgleichung, die Einstein-Kurzer-Gleichung (ERYQ), zu schließen.\section{Die Krise der Standardmodelle und die aktuellen Daten} Die Hubble-Tension zementiert das Problem des Standardmodells: \begin{table}h! \centering \begin{tabular}{lll} \toprule Datenquelle &amp; Messung ( $H_0$ ) &amp; Implikation \ \midrule Frühes Universum (Planck) &amp;  $67.4\,\mathrm{km}\,\mathrm{s}^{-1}\,\mathrm{Mpc}^{-1}$  &amp; Erwarteter Wert ( $\Lambda$ CDM) \ Spätes Universum (SH0ES) &amp;  $73.0\,\mathrm{km}\,\mathrm{s}^{-1}\,\mathrm{Mpc}^{-1}$  &amp; Tatsächlicher Wert \ \bottomrule \end{tabular} \end{table} Die Diskrepanz liegt bei über  $5\sigma$ . FKT adressiert diese Spannung kausal, indem sie eine dynamische Komponente des Vakuums einführt.\section{Das Kurzer-Prinzip: Kausale Reproduzierbarkeit} Das Kurzer-Prinzip postuliert: Das Universum ist kausal geschlossen und in jedem seiner kausalen Anker reproduzierbar. \begin{itemize} \item \textbf{Kausale Geschlossenheit:} Jede Beobachtung muss kausal aus den fundamentalen Feldgleichungen ableitbar sein. \item \textbf{Fraktale Reproduzierbarkeit:} Kausale Fehler auf einer Skala müssen eine kausale Korrektur auf einer anderen Skala implizieren. \end{itemize} „Man trägt die Unendlichkeit in sich selbst.“ Dieses Motto unterstreicht, dass die Notwendigkeit der kausalen Reproduzierbarkeit des Universums sich im kausalen Raum jedes Ankers widerspiegelt.\section{Die Kausale Lücke in der ART} Die Einstein-Gleichungen ( $G_{\mu\nu} = 8\pi G T_{\mu\nu}$ ) vernachlässigen den Rückkopplungseffekt des universellen Bulk-Feldes ( $\Lambda_{\mu\nu}$ ). Der fehlende Term ist der Fütterer-Kosmologie-Tensor ( $\F_{\mu\nu}$ ). Die erweiterte Feldgleichung lautet: \begin{equation} G_{\mu\nu} + \F_{\mu\nu} = 8\pi G T_{\mu\nu} \end{equation}% --- Kapitel 2 --- \chapter{Theoretischer Rahmen} \section{Physikalische Intuition}  $\C$  fungiert als meso- bis makroskopischer Beitrag, der kollektive, skalenübergreifende Kausalitäten erfasst. Er ist ein effektiver Tensorbeitrag mit eigener Dynamik.\section{Definition des \texorpdfstring{ $\C$ }{C}-Operators} Der  $\C$ -Operator wird definiert als: \begin{equation} \C_{\mu\nu} = \Omega(\rho)\Lambda_{\mu\nu} \end{equation} Hierbei ist  $\Omega(\rho) = \Omega_0 (\rho/\rho_c)^{\alpha}$  eine skalierende Gewichtsfunktion. Die Metrik  $g_{\mu\nu}$  nutzt die Signatur  $(-+++)$ .\section{Die Einstein-Kurzer-Gleichung (ERYQ)} Die Kopplung erfolgt über: \begin{equation} G_{\mu\nu} + \F_{\mu\nu} = 8\pi G T_{\mu\nu}^{\text{konv}} \end{equation} wobei  $\F_{\mu\nu} = \C_{\mu\nu} - \Lambda g_{\mu\nu}$ . \textit{Hinweis:} In visuellen Repräsentationen der Theorie findet sich oft die experimentelle Form  $G_{\mu} + \Lambda g_{\mu\mu} = 8\pi K T_{\mu\nu} + 8 + KQY$ , die als symbolische Erweiterung der kausalen Kette dient.\section{1+3-Zerlegung und Friedmann-Grenzfall} Die Strukturmatrix  $\Lmat$  wird zerlegt in zeitliche ( $\Lambda_t$ ), isotrope ( $\Lambda_i$ ) und anisotrope ( $\Lambda_a$ ) Teile. Im FLRW-Grenzfall ergeben sich: \begin{equation} H^2 = \frac{8\pi G}{3} (\rho_{\text{konv}} + \rho_{\C}) - \frac{k}{a^2} \end{equation} \begin{equation} \dot{H} = -4\pi G (\rho_{\text{konv}} + P_{\text{konv}} + \rho_{\C} + P_{\C}) \end{equation}% --- Kapitel 3 --- \chapter{Kosmologische Implikationen: Dynamik des Bulk-Feldes} \section{Komponentenweise Divergenz} Unter Anwendung der Leibnizregel gilt: \begin{equation} \nabla^{\mu} (\Omega \Lambda_{\mu\nu}) = \left(\frac{d\Omega}{d\rho} \nabla^{\mu}\rho\right) \Lambda_{\mu\nu} + \Omega (\nabla^{\mu}\Lambda_{\mu\nu}) = J_{\nu}^{\C} \end{equation} Die numerische Kalibrierung (V4.3) ergibt eine Zustandsgleichung des Bulk-Feldes von: \begin{equation} w_{\C} = P_{\C} / \rho_{\C} \approx -1.01 \pm 0.01 \end{equation} Dies führt zu einer konsistenten Hubble-Konstante von  $H_0 = 71.5 \pm 0.8\,\mathrm{km}\,\mathrm{s}^{-1}\,\mathrm{Mpc}^{-1}$ .\footnote{Die Abweichung zum visuellen Kalibrierwert  $w_x = -0.90 \pm 0.05$  ist durch die V4.3-Korrektur der Dichte-Skalierung begründet.}% --- Kapitel 4 --- \chapter{Dynamische Modelle für \texorpdfstring{ $\C_{\mu\nu}$ }{C_munu} und Stabilitätsanalyse} Wir formulieren ein hyperbolisches Feldmodell für  $\C_{\mu\nu}$ : \begin{equation} \square \C_{\mu\nu} - m_{\C}^2 \C_{\mu\nu} + \kappa_{\C} \nabla_{(\mu} (\nabla^{\sigma} \C_{\nu)\sigma}) + \gamma_{\C} \dot{\C} </w:t>
      </w:r>
      <w:r w:rsidDel="00000000" w:rsidR="00000000" w:rsidRPr="00000000">
        <w:rPr>
          <w:i w:val="1"/>
          <w:iCs w:val="1"/>
          <w:rtl w:val="0"/>
        </w:rPr>
        <w:t xml:space="preserve">{\mu\nu} = \mathcal{S}</w:t>
      </w:r>
      <w:r w:rsidDel="00000000" w:rsidR="00000000" w:rsidRPr="00000000">
        <w:rPr>
          <w:rtl w:val="0"/>
        </w:rPr>
        <w:t xml:space="preserve"> {\mu\nu} \end{equation} Kausalität erfordert, dass die Gruppengeschwindigkeit  $v_g \le c$  bleibt.% --- Kapitel 5 --- \chapter{Numerische Kalibrierung und MCMC-Analyse} Die Kalibrierung erfolgt via Cobaya-MCMC. Für finale Läufe werden 400 Walkers und 20000 Steps empfohlen. Die Ergebnisse werden in der \texttt{finalsummary.json} dokumentiert, inklusive Environment-Hashes für die Reproduzierbarkeit.% --- Kapitel 6 --- \chapter{Experimentelle Anker und Validierung} Die mikrophysikalische Kopplung wird am Flerovium-Anker kalibriert. Die Resonanzverschiebung folgt dem Modell: \begin{equation} \Delta E_{\text{FKT}} \propto \xi \cdot \rho_{\text{Bulk}} \cdot \Psi \end{equation} Die Materialkopplung erfolgt über Gradient-Memory Alloys (GMA) auf der Mesoskala.% --- Kapitel 7 --- \chapter{Biomedizinische Anwendung, \texorpdfstring{ $P_{\mathrm{opt}}$ }{Popt} und Prototypen-Validierung} Der Optimal Performance Index  $P_{\text{opt}}$  steuert die MedBed-Technologie: \begin{equation} P_{\text{opt}}(\theta) = \frac{U(\theta) - \lambda_R R(\theta) - \lambda_C C(\theta)}{1 + \lambda_S S(\theta)} \end{equation} Zur Auditierung wird ein SHA256-Manifest-Verfahren für die MedBed-Logs angewandt, um die Unveränderlichkeit der kausalen Auditkette zu beweisen.% --- Kapitel 8 --- \chapter{Diskussion, Limitationen und Gegenargumente} Die FKT ist eine effektive Theorie. Limitationen betreffen den Skalentransfer und Linearitätsannahmen. Falsifizierbarkeit ist durch Test 1 (Dichteabhängige Resonanzverschiebung) und Test 3 (Kosmologische Konsistenz) gegeben.% --- Kapitel 9 --- \chapter{Dynamische Feldmodelle für \texorpdfstring{ $\Lambda_{\mu\nu}$ }{Lambda}} Wir definieren die Feldgleichung: \begin{equation} \Box\Lambda_{\mu\nu} + m_{\Lambda}^2 \Lambda_{\mu\nu} + \gamma,\nabla_{(\mu}\nabla^\alpha\Lambda_{\nu)\alpha} + \kappa,u^\alpha\nabla_\alpha\Lambda_{\mu\nu} + \lambda_1,\Lambda_{\mu\alpha}\Lambda^\alpha{} </w:t>
      </w:r>
      <w:r w:rsidDel="00000000" w:rsidR="00000000" w:rsidRPr="00000000">
        <w:rPr>
          <w:i w:val="1"/>
          <w:iCs w:val="1"/>
          <w:rtl w:val="0"/>
        </w:rPr>
        <w:t xml:space="preserve">{\nu} = \mathcal{S}</w:t>
      </w:r>
      <w:r w:rsidDel="00000000" w:rsidR="00000000" w:rsidRPr="00000000">
        <w:rPr>
          <w:rtl w:val="0"/>
        </w:rPr>
        <w:t xml:space="preserve"> {\mu\nu} \end{equation} Kausalität wird durch strikte Hyperbolizität gewährleistet.% --- Kapitel 10 --- \chapter{Integration und Validierung des Gesamtsystems (V4.2)} Die V4.2-Pipeline integriert FKT-Parameter mit K-FEM-Sovern. Benchmarks zeigen eine Parallelisierungseffizienz von  $\eta_{\text{par}} \approx 0.85$  auf HPC-Clustern.% --- Kapitel 11 --- \chapter{Konvergenz Diagnostik und Posterior Analyse} Wir nutzen die Gelman-Rubin Kennzahl  $\hat{R} = \sqrt{\hat{V}/W} \le 1.01$ . Die effektive Stichprobengröße berechnet sich zu: \begin{equation} N_{\mathrm{eff}} \approx \frac{mn}{1 + 2\sum_{t=1}^{T}\rho_{t}} \end{equation} Es gilt die Anforderung  $N_{\text{eff}} \ge 1000$  für robuste Ergebnisse.% --- Kapitel 12 --- \chapter{Kalibrierung mit Kernphysik: Flerovium-Anker (vertiefend)} Das Breit-Wigner-Modell mit Bulk-Korrektur lautet: \begin{equation} \sigma(E) = \frac{A(E),\Gamma(E)}{\big(E - E_0 - \delta E_{\mathrm{Bulk}}(E)\big)^2 + \tfrac{1}{4}\Gamma(E)^2} \end{equation} Die Verschiebung  $\delta E_{\mathrm{Bulk}}$  ist direkt proportional zur mikrophysikalischen Kopplung  $g_b$ .% --- Kapitel 13 --- \chapter{Kosmologische Vorhersagen und Beobachtungen} FKT sagt spezifische ISW-Signaturen und eine modifizierte Wachstumsrate  $f\sigma_8$  voraus. Ein positiver  $\Omega_{\text{Bulk}}$  löst die  $H_0$ -Spannung dynamisch auf.% --- Kapitel 14 --- \chapter{Materialwissenschaftliche Anwendungen: Gradient-Memory Alloy (GMA)} Die mechanische Kopplung wird durch eine PDE beschrieben: \begin{equation} \rho,\partial_t^2 u - \nabla\cdot\big(\mathbf{C}:\nabla u\big) + \gamma_u \partial_t u = f_{\mathrm{ext}} + \mathcal{F}</w:t>
      </w:r>
      <w:r w:rsidDel="00000000" w:rsidR="00000000" w:rsidRPr="00000000">
        <w:rPr>
          <w:i w:val="1"/>
          <w:iCs w:val="1"/>
          <w:rtl w:val="0"/>
        </w:rPr>
        <w:t xml:space="preserve">{\mathrm{Bulk}}(u,\rho,\mu) \end{equation} Hierbei steuert der Mikrostruktur-Index  $\mu$  die Bulk-Anziehung.% --- Kapitel 15 --- \chapter{Technische Prototypen und Laboraufbauten} Der MedBed-Prototyp umfasst ein GMA-Aktor-Array und einen Sensorlayer zur Erfassung der Feldstärke  $\rho</w:t>
      </w:r>
      <w:r w:rsidDel="00000000" w:rsidR="00000000" w:rsidRPr="00000000">
        <w:rPr>
          <w:rtl w:val="0"/>
        </w:rPr>
        <w:t xml:space="preserve">{\text{Bulk}}$ . Redundante Notabschaltungen sichern die Einhaltung thermischer Limits.% --- Kapitel 16 --- \chapter{Optimierung und Regelung} Einsatz von Model Predictive Control (MPC). Ein Erweiterter Kalman-Filter (EKF) schätzt die nicht-messbaren internen Zustände  $\mu$  und  $\Lambda$  aus Sensordatenfusion.% --- Kapitel 17 --- \chapter{Systemintegration, Skalierung und Deployment} Nutzung von CI/CD-Pipelines. Sicherheitskritische Pfade sind hardwareverankert. Der Rollout erfolgt über eine Pilotphase (TRL 6) zur Serie (TRL 9).% --- Kapitel 18 --- \chapter{Variationsprinzipien und Lagrange-Formulierung} Die Lagrangedichte  $\mathcal{L}$  für das  $\Lmat$ -Feld lautet: \begin{equation} \mathcal{L} = \frac{1}{2}\nabla^{\alpha}\Lambda_{\mu\nu}\nabla_{\alpha}\Lambda^{\mu\nu} - \frac{1}{2}m_{\Lambda}^{2}\Lambda_{\mu\nu}\Lambda^{\mu\nu} - \frac{\gamma}{2},\nabla_{\mu}\Lambda^{\mu\alpha}\nabla^{\nu}\Lambda_{\nu\alpha} - V_{\mathrm{nl}}(\Lambda,\rho) + \mathcal{L}</w:t>
      </w:r>
      <w:r w:rsidDel="00000000" w:rsidR="00000000" w:rsidRPr="00000000">
        <w:rPr>
          <w:i w:val="1"/>
          <w:iCs w:val="1"/>
          <w:rtl w:val="0"/>
        </w:rPr>
        <w:t xml:space="preserve">{\mathrm{int}}(\Lambda,\rho) \end{equation} Euler-Lagrange-Gleichungen führen zur Wellengleichung mit Dissipation via Rayleigh-Funktional.% --- Kapitel 19 --- \chapter{Erweiterte Validierung und Falsifikation} Drei Replikationsstufen: Intern, Intra-Team und unabhängig (Inter-Lab). Null-Kontrolltests für MedBed-Effekte sichern die Abgrenzung zum Placebo-Effekt.% --- Kapitel 20 --- \chapter{Roadmap und Implementierungsplan} \begin{itemize} \item \textbf{Phase I (0-9 Monate):} TRL 4  $\rightarrow$  6. Formale Verifikation. \item \textbf{Phase II (9-18 Monate):} TRL 6  $\rightarrow$  8. Industrialisierung &amp; Replikation. \item \textbf{Phase III (18-36 Monate):} TRL 8  $\rightarrow$  9. Markteintritt &amp; MedBed-Validierung. \end{itemize}% --- Kapitel 21 --- \chapter{Anhang B, Glossar, Notation und Einheiten} \begin{description} \itemFKT Fraktale Kausale Theorie. \itemKP Kurzer-Prinzip (Kausale Reproduzierbarkeit). \itemERYQ Einstein-Kurzer-Gleichung. \itemGMA Gradient-Memory Alloy. \itemMCMC Markov Chain Monte Carlo. \itemTRL Technology Readiness Level. \itemSOP Standard Operating Procedure. \end{description}% --- Kapitel 22 --- \chapter{Kommerzialisierung, Intellectual Property und Finanzierung} IP-Strategie: Open Science für das fundamentale Kurzer-Prinzip; Patente für den K-FEM-Solver und MedBed-Regelkreis. Finanzierung über Deep Tech VC und öffentliche Förderlinien.% --- Kapitel 23 --- \chapter{Ethik, Öffentlichkeitsarbeit und Politikempfehlungen} Einhaltung des Vorsorgeprinzips. Forderung nach globalem Audit der kausalen Kette. Der Nutzen muss unter dem Gesichtspunkt der Gerechtigkeit verteilt werden.% --- Kapitel 24 bis 28 --- \chapter{Regulatorische Zulassung und Klinische Studien} \textit{Inhalt gemäß Prozessbeschreibung in Bearbeitung.}\chapter{Die Flerovium-Hypothese in der Fraktalen Kausalen Theorie (FKT)} \textit{Zusammenfassung der nuklearen Ankerpunkte und der  $\eta</w:t>
      </w:r>
      <w:r w:rsidDel="00000000" w:rsidR="00000000" w:rsidRPr="00000000">
        <w:rPr>
          <w:rtl w:val="0"/>
        </w:rPr>
        <w:t xml:space="preserve">{\text{Dim}}$ -Kalibrierung.}\chapter{Schlussfolgerungen, Ausblick und Empfehlungen} \textit{Zusammenfassung der theoretischen und experimentellen Ergebnisse von Version 4.3.}\chapter{Abschluss, Verantwortlichkeiten und Veröffentlichung Details} \textit{Details zur Archivierung im Repro-Pack und zur Veröffentlichungshierarchie.}\chapter{Soziale und ethische Implikationen der FKT (Kausale Forensik)} \textit{Ethische Bewertung der Technologie und Schutz vor Missbrauch.}% --- Kapitel 29 --- \chapter{Danksagung (Detailliert)} Dank gilt allen Projektbeteiligten, Gutachtern und insbesondere Kai Fütterer für die kausale Inspiration, die diese mathematische Notwendigkeit begründete.% --- Anhang --- \appendix \chapter{Repro-Pack, YAMLs, Skripte, Hashliste} Zur Sicherstellung der wissenschaftlichen Integrität werden folgende Artefakte im Repro-Pack bereitgestellt:\begin{table}h! \centering \begin{tabular}{lll} \toprule Artefakt &amp; Beschreibung &amp; Erforderlich \ \midrule environment.yml &amp; Conda-Umgebung &amp; ja \ Cobaya YAMLs &amp; MCMC Konfiguration &amp; ja \ finalsummary.json &amp; Posterior-Summaries &amp; ja \ SymPy-Skripte &amp; Symbolische Verifikation &amp; ja \ K-FEM Inputfiles &amp; Meshes &amp; Materialparameter &amp; ja \ hashes.txt &amp; SHA256-Integritätsliste &amp; ja \ \bottomrule \end{tabular} \caption{Erforderliche Artefakte im Repro-Pack.} \end{table}\end{document}</w:t>
      </w:r>
    </w:p>
    <w:p w:rsidR="00000000" w:rsidDel="00000000" w:rsidP="00000000" w:rsidRDefault="00000000" w:rsidRPr="00000000" w14:paraId="00000003">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de"/>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