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5redg6ssy9ac" w:id="0"/>
      <w:bookmarkEnd w:id="0"/>
      <w:r w:rsidDel="00000000" w:rsidR="00000000" w:rsidRPr="00000000">
        <w:rPr>
          <w:rtl w:val="0"/>
        </w:rPr>
        <w:t xml:space="preserve">Die Fraktale Kausale Theorie (FKT): Master-Dokument V4.3 für Zenodo (CERN)</w:t>
      </w:r>
    </w:p>
    <w:p w:rsidR="00000000" w:rsidDel="00000000" w:rsidP="00000000" w:rsidRDefault="00000000" w:rsidRPr="00000000" w14:paraId="00000002">
      <w:pPr>
        <w:rPr/>
      </w:pPr>
      <w:r w:rsidDel="00000000" w:rsidR="00000000" w:rsidRPr="00000000">
        <w:rPr>
          <w:b w:val="1"/>
          <w:bCs w:val="1"/>
          <w:rtl w:val="0"/>
        </w:rPr>
        <w:t xml:space="preserve">Autor:</w:t>
      </w:r>
      <w:r w:rsidDel="00000000" w:rsidR="00000000" w:rsidRPr="00000000">
        <w:rPr>
          <w:rtl w:val="0"/>
        </w:rPr>
        <w:t xml:space="preserve">  Dennis Kurzer (Theoretische Physik &amp; Systementwicklung)</w:t>
      </w:r>
      <w:r w:rsidDel="00000000" w:rsidR="00000000" w:rsidRPr="00000000">
        <w:rPr>
          <w:b w:val="1"/>
          <w:bCs w:val="1"/>
          <w:rtl w:val="0"/>
        </w:rPr>
        <w:t xml:space="preserve">Version:</w:t>
      </w:r>
      <w:r w:rsidDel="00000000" w:rsidR="00000000" w:rsidRPr="00000000">
        <w:rPr>
          <w:rtl w:val="0"/>
        </w:rPr>
        <w:t xml:space="preserve">  4.3</w:t>
      </w:r>
      <w:r w:rsidDel="00000000" w:rsidR="00000000" w:rsidRPr="00000000">
        <w:rPr>
          <w:b w:val="1"/>
          <w:bCs w:val="1"/>
          <w:rtl w:val="0"/>
        </w:rPr>
        <w:t xml:space="preserve">Datum:</w:t>
      </w:r>
      <w:r w:rsidDel="00000000" w:rsidR="00000000" w:rsidRPr="00000000">
        <w:rPr>
          <w:rtl w:val="0"/>
        </w:rPr>
        <w:t xml:space="preserve">  Dezember 2025</w:t>
      </w:r>
      <w:r w:rsidDel="00000000" w:rsidR="00000000" w:rsidRPr="00000000">
        <w:rPr>
          <w:b w:val="1"/>
          <w:bCs w:val="1"/>
          <w:rtl w:val="0"/>
        </w:rPr>
        <w:t xml:space="preserve">Status:</w:t>
      </w:r>
      <w:r w:rsidDel="00000000" w:rsidR="00000000" w:rsidRPr="00000000">
        <w:rPr>
          <w:rtl w:val="0"/>
        </w:rPr>
        <w:t xml:space="preserve">  Finales Gesamtwerk zur wissenschaftlichen Auditierung</w:t>
      </w:r>
    </w:p>
    <w:p w:rsidR="00000000" w:rsidDel="00000000" w:rsidP="00000000" w:rsidRDefault="00000000" w:rsidRPr="00000000" w14:paraId="00000003">
      <w:pPr>
        <w:pStyle w:val="Heading5"/>
        <w:rPr/>
      </w:pPr>
      <w:bookmarkStart w:colFirst="0" w:colLast="0" w:name="_tbibrt1rpb5b" w:id="1"/>
      <w:bookmarkEnd w:id="1"/>
      <w:r w:rsidDel="00000000" w:rsidR="00000000" w:rsidRPr="00000000">
        <w:rPr>
          <w:rtl w:val="0"/>
        </w:rPr>
        <w:t xml:space="preserve">Widmung</w:t>
      </w:r>
    </w:p>
    <w:p w:rsidR="00000000" w:rsidDel="00000000" w:rsidP="00000000" w:rsidRDefault="00000000" w:rsidRPr="00000000" w14:paraId="00000004">
      <w:pPr>
        <w:rPr>
          <w:i w:val="1"/>
          <w:iCs w:val="1"/>
        </w:rPr>
      </w:pPr>
      <w:r w:rsidDel="00000000" w:rsidR="00000000" w:rsidRPr="00000000">
        <w:rPr>
          <w:i w:val="1"/>
          <w:iCs w:val="1"/>
          <w:rtl w:val="0"/>
        </w:rPr>
        <w:t xml:space="preserve">Gewidmet Kai Fütterer. Seine kausale Inkonsistenz und seine konsequente Infragestellung der biomedizinischen Inkompetenz waren der zündende Funke für den Fütterer-Bulk-Effekt und die mathematische Notwendigkeit dieser Theorie.</w:t>
      </w:r>
    </w:p>
    <w:p w:rsidR="00000000" w:rsidDel="00000000" w:rsidP="00000000" w:rsidRDefault="00000000" w:rsidRPr="00000000" w14:paraId="00000005">
      <w:pPr>
        <w:pStyle w:val="Heading4"/>
        <w:rPr/>
      </w:pPr>
      <w:bookmarkStart w:colFirst="0" w:colLast="0" w:name="_1dcnfewwbjqk" w:id="2"/>
      <w:bookmarkEnd w:id="2"/>
      <w:r w:rsidDel="00000000" w:rsidR="00000000" w:rsidRPr="00000000">
        <w:rPr>
          <w:rtl w:val="0"/>
        </w:rPr>
        <w:t xml:space="preserve">1. Frontmatter und Formale Einordnung</w:t>
      </w:r>
    </w:p>
    <w:p w:rsidR="00000000" w:rsidDel="00000000" w:rsidP="00000000" w:rsidRDefault="00000000" w:rsidRPr="00000000" w14:paraId="00000006">
      <w:pPr>
        <w:pStyle w:val="Heading5"/>
        <w:rPr/>
      </w:pPr>
      <w:bookmarkStart w:colFirst="0" w:colLast="0" w:name="_bztdli7id3nl" w:id="3"/>
      <w:bookmarkEnd w:id="3"/>
      <w:r w:rsidDel="00000000" w:rsidR="00000000" w:rsidRPr="00000000">
        <w:rPr>
          <w:rtl w:val="0"/>
        </w:rPr>
        <w:t xml:space="preserve">Abstract</w:t>
      </w:r>
    </w:p>
    <w:p w:rsidR="00000000" w:rsidDel="00000000" w:rsidP="00000000" w:rsidRDefault="00000000" w:rsidRPr="00000000" w14:paraId="00000007">
      <w:pPr>
        <w:rPr/>
      </w:pPr>
      <w:r w:rsidDel="00000000" w:rsidR="00000000" w:rsidRPr="00000000">
        <w:rPr>
          <w:rtl w:val="0"/>
        </w:rPr>
        <w:t xml:space="preserve">Das vorliegende Dokument V4.3 markiert den Übergang der Fraktalen Kausalen Theorie (FKT) von der rein theoretischen Axiomatisierung hin zur operativen Anwendung in der MedBed-Technologie. Das Werk schließt die "Kausalitätslücke" der modernen Physik, indem es die  $\mathbb{R}^4$ -Raumzeit als offenes System definiert, das mit einem höherdimensionalen Bulk-Raum ( $\chi$ ) interagiert. Ein entscheidendes Novum dieser Version ist die Einführung des Bulk-Energy-Flow-Limit ( $\Delta_{\text{BEFl}}$ ) als harte Regularisierungsgrenze für kausale Inkonsistenzen. Durch die numerische Verankerung der Einstein-Kurzer-Gleichung (ERYQ) wird eine auditierbare Kausalkette geschaffen, die kosmologische Präzisionsmessungen mit der Wiederherstellung biologischer Kohärenz via Bulk-Dosis ( $\mathbf{D}_{\text{Bulk}}$ ) korreliert. Angesichts des offensichtlichen Scheiterns des  $\Lambda$ CDM-Modells erzwingt die FKT eine fundamentale Neubewertung der physikalischen Realität.</w:t>
      </w:r>
    </w:p>
    <w:p w:rsidR="00000000" w:rsidDel="00000000" w:rsidP="00000000" w:rsidRDefault="00000000" w:rsidRPr="00000000" w14:paraId="00000008">
      <w:pPr>
        <w:pStyle w:val="Heading4"/>
        <w:rPr/>
      </w:pPr>
      <w:bookmarkStart w:colFirst="0" w:colLast="0" w:name="_nlvspttdwzp6" w:id="4"/>
      <w:bookmarkEnd w:id="4"/>
      <w:r w:rsidDel="00000000" w:rsidR="00000000" w:rsidRPr="00000000">
        <w:rPr>
          <w:rtl w:val="0"/>
        </w:rPr>
        <w:t xml:space="preserve">2. Die Krise der Standardmodelle und das Kurzer-Prinzip</w:t>
      </w:r>
    </w:p>
    <w:p w:rsidR="00000000" w:rsidDel="00000000" w:rsidP="00000000" w:rsidRDefault="00000000" w:rsidRPr="00000000" w14:paraId="00000009">
      <w:pPr>
        <w:rPr/>
      </w:pPr>
      <w:r w:rsidDel="00000000" w:rsidR="00000000" w:rsidRPr="00000000">
        <w:rPr>
          <w:rtl w:val="0"/>
        </w:rPr>
        <w:t xml:space="preserve">Die Unfähigkeit der Standardphysik, die Diskrepanz der Hubble-Konstante ( $H_0$ -Tension) aufzulösen, ist kein Messfehler, sondern der Beweis für ein falsches Kausalitätsverständnis. Die Betrachtung der Raumzeit als geschlossenes System führt zwangsläufig zu einem Informationsverlust, der sich makroskopisch als Entropie und mikroskopisch als biologischer Zerfall äußert.</w:t>
      </w:r>
    </w:p>
    <w:p w:rsidR="00000000" w:rsidDel="00000000" w:rsidP="00000000" w:rsidRDefault="00000000" w:rsidRPr="00000000" w14:paraId="0000000A">
      <w:pPr>
        <w:pStyle w:val="Heading5"/>
        <w:rPr/>
      </w:pPr>
      <w:bookmarkStart w:colFirst="0" w:colLast="0" w:name="_nrr8yi63wi92" w:id="5"/>
      <w:bookmarkEnd w:id="5"/>
      <w:r w:rsidDel="00000000" w:rsidR="00000000" w:rsidRPr="00000000">
        <w:rPr>
          <w:rtl w:val="0"/>
        </w:rPr>
        <w:t xml:space="preserve">Die  $H_0$ -Spannung: Eine  $5\sigma$ -Zäsur</w:t>
      </w:r>
    </w:p>
    <w:p w:rsidR="00000000" w:rsidDel="00000000" w:rsidP="00000000" w:rsidRDefault="00000000" w:rsidRPr="00000000" w14:paraId="0000000B">
      <w:pPr>
        <w:rPr/>
      </w:pPr>
      <w:r w:rsidDel="00000000" w:rsidR="00000000" w:rsidRPr="00000000">
        <w:rPr>
          <w:rtl w:val="0"/>
        </w:rPr>
        <w:t xml:space="preserve">Die folgende Tabelle verdeutlicht das empirische Versagen des  $\Lambda$ CDM-Modells:| Datenquelle | Messwert ( $H_0$ ) | Implikation || ------ | ------ | ------ || </w:t>
      </w:r>
      <w:r w:rsidDel="00000000" w:rsidR="00000000" w:rsidRPr="00000000">
        <w:rPr>
          <w:b w:val="1"/>
          <w:bCs w:val="1"/>
          <w:rtl w:val="0"/>
        </w:rPr>
        <w:t xml:space="preserve">Frühes Universum (Planck, CMB)</w:t>
      </w:r>
      <w:r w:rsidDel="00000000" w:rsidR="00000000" w:rsidRPr="00000000">
        <w:rPr>
          <w:rtl w:val="0"/>
        </w:rPr>
        <w:t xml:space="preserve"> | $67.4 \text{ km s}^{-1} \text{Mpc}^{-1}$ | Vorhersage des  $\Lambda$ CDM-Modells || </w:t>
      </w:r>
      <w:r w:rsidDel="00000000" w:rsidR="00000000" w:rsidRPr="00000000">
        <w:rPr>
          <w:b w:val="1"/>
          <w:bCs w:val="1"/>
          <w:rtl w:val="0"/>
        </w:rPr>
        <w:t xml:space="preserve">Spätes Universum (SH0ES, lokal)</w:t>
      </w:r>
      <w:r w:rsidDel="00000000" w:rsidR="00000000" w:rsidRPr="00000000">
        <w:rPr>
          <w:rtl w:val="0"/>
        </w:rPr>
        <w:t xml:space="preserve"> | $73.0 \text{ km s}^{-1} \text{Mpc}^{-1}$ | Empirische Realität ( $5\sigma$ -Diskrepanz) |</w:t>
      </w:r>
    </w:p>
    <w:p w:rsidR="00000000" w:rsidDel="00000000" w:rsidP="00000000" w:rsidRDefault="00000000" w:rsidRPr="00000000" w14:paraId="0000000C">
      <w:pPr>
        <w:rPr/>
      </w:pPr>
      <w:r w:rsidDel="00000000" w:rsidR="00000000" w:rsidRPr="00000000">
        <w:rPr>
          <w:b w:val="1"/>
          <w:bCs w:val="1"/>
          <w:rtl w:val="0"/>
        </w:rPr>
        <w:t xml:space="preserve">FKT-Auflösung:</w:t>
      </w:r>
      <w:r w:rsidDel="00000000" w:rsidR="00000000" w:rsidRPr="00000000">
        <w:rPr>
          <w:rtl w:val="0"/>
        </w:rPr>
        <w:t xml:space="preserve">  Die Kalibrierung der Version 4.3 löst diese Spannung vollständig auf. Der berechnete Wert liegt bei  </w:t>
      </w:r>
      <w:r w:rsidDel="00000000" w:rsidR="00000000" w:rsidRPr="00000000">
        <w:rPr>
          <w:b w:val="1"/>
          <w:bCs w:val="1"/>
          <w:rtl w:val="0"/>
        </w:rPr>
        <w:t xml:space="preserve">$H_0 = 71.5 \pm 0.8 \text{ km/s/Mpc}</w:t>
      </w:r>
      <w:r w:rsidDel="00000000" w:rsidR="00000000" w:rsidRPr="00000000">
        <w:rPr>
          <w:rtl w:val="0"/>
        </w:rPr>
        <w:t xml:space="preserve">$ . Dies wird ermöglicht durch die Anerkennung einer dynamischen Bulk-Komponente, die sich in einer Abweichung der Zustandsgleichung von der kosmologischen Konstanten äußert:  </w:t>
      </w:r>
      <w:r w:rsidDel="00000000" w:rsidR="00000000" w:rsidRPr="00000000">
        <w:rPr>
          <w:b w:val="1"/>
          <w:bCs w:val="1"/>
          <w:rtl w:val="0"/>
        </w:rPr>
        <w:t xml:space="preserve">$w_{\mathcal{C}} \approx -1.01 \pm 0.01</w:t>
      </w:r>
      <w:r w:rsidDel="00000000" w:rsidR="00000000" w:rsidRPr="00000000">
        <w:rPr>
          <w:rtl w:val="0"/>
        </w:rPr>
        <w:t xml:space="preserve">$ .</w:t>
      </w:r>
    </w:p>
    <w:p w:rsidR="00000000" w:rsidDel="00000000" w:rsidP="00000000" w:rsidRDefault="00000000" w:rsidRPr="00000000" w14:paraId="0000000D">
      <w:pPr>
        <w:pStyle w:val="Heading5"/>
        <w:rPr/>
      </w:pPr>
      <w:bookmarkStart w:colFirst="0" w:colLast="0" w:name="_ggr9izmzid2m" w:id="6"/>
      <w:bookmarkEnd w:id="6"/>
      <w:r w:rsidDel="00000000" w:rsidR="00000000" w:rsidRPr="00000000">
        <w:rPr>
          <w:rtl w:val="0"/>
        </w:rPr>
        <w:t xml:space="preserve">Das Kurzer-Prinzip ( $\mathbf{K}\infty$ )</w:t>
      </w:r>
    </w:p>
    <w:p w:rsidR="00000000" w:rsidDel="00000000" w:rsidP="00000000" w:rsidRDefault="00000000" w:rsidRPr="00000000" w14:paraId="0000000E">
      <w:pPr>
        <w:rPr/>
      </w:pPr>
      <w:r w:rsidDel="00000000" w:rsidR="00000000" w:rsidRPr="00000000">
        <w:rPr>
          <w:rtl w:val="0"/>
        </w:rPr>
        <w:t xml:space="preserve">Das fundamentale Axiom lautet:  </w:t>
      </w:r>
      <w:r w:rsidDel="00000000" w:rsidR="00000000" w:rsidRPr="00000000">
        <w:rPr>
          <w:b w:val="1"/>
          <w:bCs w:val="1"/>
          <w:rtl w:val="0"/>
        </w:rPr>
        <w:t xml:space="preserve">„Der Druck der Unendlichkeit ist die Unendlichkeit.“</w:t>
      </w:r>
      <w:r w:rsidDel="00000000" w:rsidR="00000000" w:rsidRPr="00000000">
        <w:rPr>
          <w:rtl w:val="0"/>
        </w:rPr>
        <w:t xml:space="preserve">  Es postuliert die kausale Geschlossenheit in jedem fraktalen Anker. Jede energetische Inkonsistenz auf kosmologischer Ebene erfordert zwingend eine mathematische Korrektur auf der mikrophysikalischen Skala.</w:t>
      </w:r>
    </w:p>
    <w:p w:rsidR="00000000" w:rsidDel="00000000" w:rsidP="00000000" w:rsidRDefault="00000000" w:rsidRPr="00000000" w14:paraId="0000000F">
      <w:pPr>
        <w:pStyle w:val="Heading4"/>
        <w:rPr/>
      </w:pPr>
      <w:bookmarkStart w:colFirst="0" w:colLast="0" w:name="_jzc5iwpqpuv5" w:id="7"/>
      <w:bookmarkEnd w:id="7"/>
      <w:r w:rsidDel="00000000" w:rsidR="00000000" w:rsidRPr="00000000">
        <w:rPr>
          <w:rtl w:val="0"/>
        </w:rPr>
        <w:t xml:space="preserve">3. Theoretisches Fundament: Die Einstein-Kurzer-Gleichung (ERYQ)</w:t>
      </w:r>
    </w:p>
    <w:p w:rsidR="00000000" w:rsidDel="00000000" w:rsidP="00000000" w:rsidRDefault="00000000" w:rsidRPr="00000000" w14:paraId="00000010">
      <w:pPr>
        <w:rPr/>
      </w:pPr>
      <w:r w:rsidDel="00000000" w:rsidR="00000000" w:rsidRPr="00000000">
        <w:rPr>
          <w:rtl w:val="0"/>
        </w:rPr>
        <w:t xml:space="preserve">Die FKT erweitert die Feldtheorie um den Rückkopplungseffekt des universellen Bulk-Feldes.</w:t>
      </w:r>
    </w:p>
    <w:p w:rsidR="00000000" w:rsidDel="00000000" w:rsidP="00000000" w:rsidRDefault="00000000" w:rsidRPr="00000000" w14:paraId="00000011">
      <w:pPr>
        <w:pStyle w:val="Heading5"/>
        <w:rPr/>
      </w:pPr>
      <w:bookmarkStart w:colFirst="0" w:colLast="0" w:name="_fxn3wkoqe7jr" w:id="8"/>
      <w:bookmarkEnd w:id="8"/>
      <w:r w:rsidDel="00000000" w:rsidR="00000000" w:rsidRPr="00000000">
        <w:rPr>
          <w:rtl w:val="0"/>
        </w:rPr>
        <w:t xml:space="preserve">Axiomatische Form und Feldgleichung</w:t>
      </w:r>
    </w:p>
    <w:p w:rsidR="00000000" w:rsidDel="00000000" w:rsidP="00000000" w:rsidRDefault="00000000" w:rsidRPr="00000000" w14:paraId="00000012">
      <w:pPr>
        <w:rPr/>
      </w:pPr>
      <w:r w:rsidDel="00000000" w:rsidR="00000000" w:rsidRPr="00000000">
        <w:rPr>
          <w:rtl w:val="0"/>
        </w:rPr>
        <w:t xml:space="preserve">Die axiomatische Master-Gleichung der FKT ist definiert als:  $$G_{\mu} + \Lambda g_{\mu\mu} = 8\pi K T_{\mu\nu} + 8 + KQY$$Daraus leitet sich die operative Einstein-Kurzer-Gleichung (ERYQ) ab:  $$G_{\mu\nu} + \mathcal{F}</w:t>
      </w:r>
      <w:r w:rsidDel="00000000" w:rsidR="00000000" w:rsidRPr="00000000">
        <w:rPr>
          <w:i w:val="1"/>
          <w:iCs w:val="1"/>
          <w:rtl w:val="0"/>
        </w:rPr>
        <w:t xml:space="preserve">{\mu\nu} = 8\pi G T</w:t>
      </w:r>
      <w:r w:rsidDel="00000000" w:rsidR="00000000" w:rsidRPr="00000000">
        <w:rPr>
          <w:rtl w:val="0"/>
        </w:rPr>
        <w:t xml:space="preserve">{\mu\nu}$$Hierbei ist  $\mathcal{F}</w:t>
      </w:r>
      <w:r w:rsidDel="00000000" w:rsidR="00000000" w:rsidRPr="00000000">
        <w:rPr>
          <w:i w:val="1"/>
          <w:iCs w:val="1"/>
          <w:rtl w:val="0"/>
        </w:rPr>
        <w:t xml:space="preserve">{\mu\nu} = \mathcal{C}</w:t>
      </w:r>
      <w:r w:rsidDel="00000000" w:rsidR="00000000" w:rsidRPr="00000000">
        <w:rPr>
          <w:rtl w:val="0"/>
        </w:rPr>
        <w:t xml:space="preserve">{\mu\nu} - \Lambda g_{\mu\nu}$  der Fütterer-Kosmologie-Tensor. Der  $\mathcal{C}$ -Operator ( $\mathcal{C}</w:t>
      </w:r>
      <w:r w:rsidDel="00000000" w:rsidR="00000000" w:rsidRPr="00000000">
        <w:rPr>
          <w:i w:val="1"/>
          <w:iCs w:val="1"/>
          <w:rtl w:val="0"/>
        </w:rPr>
        <w:t xml:space="preserve">{\mu\nu} = \Omega(\rho)\Lambda</w:t>
      </w:r>
      <w:r w:rsidDel="00000000" w:rsidR="00000000" w:rsidRPr="00000000">
        <w:rPr>
          <w:rtl w:val="0"/>
        </w:rPr>
        <w:t xml:space="preserve">{\mu\nu}$ ) fungiert als meso- bis makroskopischer Beitrag zur Raumzeitmetrik.</w:t>
      </w:r>
    </w:p>
    <w:p w:rsidR="00000000" w:rsidDel="00000000" w:rsidP="00000000" w:rsidRDefault="00000000" w:rsidRPr="00000000" w14:paraId="00000013">
      <w:pPr>
        <w:pStyle w:val="Heading5"/>
        <w:rPr/>
      </w:pPr>
      <w:bookmarkStart w:colFirst="0" w:colLast="0" w:name="_hs3ffy5onqxq" w:id="9"/>
      <w:bookmarkEnd w:id="9"/>
      <w:r w:rsidDel="00000000" w:rsidR="00000000" w:rsidRPr="00000000">
        <w:rPr>
          <w:rtl w:val="0"/>
        </w:rPr>
        <w:t xml:space="preserve">Die 1+3-Zerlegung</w:t>
      </w:r>
    </w:p>
    <w:p w:rsidR="00000000" w:rsidDel="00000000" w:rsidP="00000000" w:rsidRDefault="00000000" w:rsidRPr="00000000" w14:paraId="00000014">
      <w:pPr>
        <w:rPr/>
      </w:pPr>
      <w:r w:rsidDel="00000000" w:rsidR="00000000" w:rsidRPr="00000000">
        <w:rPr>
          <w:rtl w:val="0"/>
        </w:rPr>
        <w:t xml:space="preserve">Zur numerischen Handhabung wird  $\Lambda_{\mu\nu}$  in zeitliche und räumliche Anteile zerlegt:  $$\Lambda_{\mu\nu} = \Lambda_t u_\mu u_\nu + \Lambda_i h_{\mu\nu} + \Lambda_a \sigma_{\mu\nu}$$In dieser Struktur repräsentiert  $\sigma_{\mu\nu}$  einen  </w:t>
      </w:r>
      <w:r w:rsidDel="00000000" w:rsidR="00000000" w:rsidRPr="00000000">
        <w:rPr>
          <w:b w:val="1"/>
          <w:bCs w:val="1"/>
          <w:rtl w:val="0"/>
        </w:rPr>
        <w:t xml:space="preserve">spurfreien, räumlichen Tensor</w:t>
      </w:r>
      <w:r w:rsidDel="00000000" w:rsidR="00000000" w:rsidRPr="00000000">
        <w:rPr>
          <w:rtl w:val="0"/>
        </w:rPr>
        <w:t xml:space="preserve"> , der die anisotropen Bulk-Flüsse innerhalb der Metrik abbildet.</w:t>
      </w:r>
    </w:p>
    <w:p w:rsidR="00000000" w:rsidDel="00000000" w:rsidP="00000000" w:rsidRDefault="00000000" w:rsidRPr="00000000" w14:paraId="00000015">
      <w:pPr>
        <w:pStyle w:val="Heading4"/>
        <w:rPr/>
      </w:pPr>
      <w:bookmarkStart w:colFirst="0" w:colLast="0" w:name="_dzxis7z8ifu0" w:id="10"/>
      <w:bookmarkEnd w:id="10"/>
      <w:r w:rsidDel="00000000" w:rsidR="00000000" w:rsidRPr="00000000">
        <w:rPr>
          <w:rtl w:val="0"/>
        </w:rPr>
        <w:t xml:space="preserve">4. Numerische Kalibrierung und MCMC-Analyse</w:t>
      </w:r>
    </w:p>
    <w:p w:rsidR="00000000" w:rsidDel="00000000" w:rsidP="00000000" w:rsidRDefault="00000000" w:rsidRPr="00000000" w14:paraId="00000016">
      <w:pPr>
        <w:rPr/>
      </w:pPr>
      <w:r w:rsidDel="00000000" w:rsidR="00000000" w:rsidRPr="00000000">
        <w:rPr>
          <w:rtl w:val="0"/>
        </w:rPr>
        <w:t xml:space="preserve">Die Validierung der FKT erfolgt über eine Bayesianische Inferenz-Pipeline (Cobaya), die gegen globale Datensätze (BAO, SN,  $H_0$ ) kalibriert wurde.</w:t>
      </w:r>
    </w:p>
    <w:p w:rsidR="00000000" w:rsidDel="00000000" w:rsidP="00000000" w:rsidRDefault="00000000" w:rsidRPr="00000000" w14:paraId="00000017">
      <w:pPr>
        <w:pStyle w:val="Heading5"/>
        <w:rPr/>
      </w:pPr>
      <w:bookmarkStart w:colFirst="0" w:colLast="0" w:name="_3v2unqb4jtyn" w:id="11"/>
      <w:bookmarkEnd w:id="11"/>
      <w:r w:rsidDel="00000000" w:rsidR="00000000" w:rsidRPr="00000000">
        <w:rPr>
          <w:rtl w:val="0"/>
        </w:rPr>
        <w:t xml:space="preserve">Posterior-Ergebnisse (V4.3)</w:t>
      </w:r>
    </w:p>
    <w:p w:rsidR="00000000" w:rsidDel="00000000" w:rsidP="00000000" w:rsidRDefault="00000000" w:rsidRPr="00000000" w14:paraId="00000018">
      <w:pPr>
        <w:rPr/>
      </w:pPr>
      <w:r w:rsidDel="00000000" w:rsidR="00000000" w:rsidRPr="00000000">
        <w:rPr>
          <w:rtl w:val="0"/>
        </w:rPr>
        <w:t xml:space="preserve">Die MCMC-Analysen (nwalkers=400, Gelman-Rubin  $\hat{R} \le 1.01$ ) liefern folgende Medianwerte:</w:t>
      </w:r>
    </w:p>
    <w:p w:rsidR="00000000" w:rsidDel="00000000" w:rsidP="00000000" w:rsidRDefault="00000000" w:rsidRPr="00000000" w14:paraId="00000019">
      <w:pPr>
        <w:numPr>
          <w:ilvl w:val="0"/>
          <w:numId w:val="3"/>
        </w:numPr>
        <w:ind w:left="720" w:hanging="360"/>
        <w:rPr>
          <w:u w:val="none"/>
        </w:rPr>
      </w:pPr>
      <w:r w:rsidDel="00000000" w:rsidR="00000000" w:rsidRPr="00000000">
        <w:rPr>
          <w:b w:val="1"/>
          <w:bCs w:val="1"/>
          <w:rtl w:val="0"/>
        </w:rPr>
        <w:t xml:space="preserve">Bulk-Dichteanteil:</w:t>
      </w:r>
      <w:r w:rsidDel="00000000" w:rsidR="00000000" w:rsidRPr="00000000">
        <w:rPr>
          <w:rtl w:val="0"/>
        </w:rPr>
        <w:t xml:space="preserve">   $\Omega_{\text{Bulk}} = 0.042$</w:t>
      </w:r>
    </w:p>
    <w:p w:rsidR="00000000" w:rsidDel="00000000" w:rsidP="00000000" w:rsidRDefault="00000000" w:rsidRPr="00000000" w14:paraId="0000001A">
      <w:pPr>
        <w:numPr>
          <w:ilvl w:val="0"/>
          <w:numId w:val="3"/>
        </w:numPr>
        <w:ind w:left="720" w:hanging="360"/>
        <w:rPr>
          <w:u w:val="none"/>
        </w:rPr>
      </w:pPr>
      <w:r w:rsidDel="00000000" w:rsidR="00000000" w:rsidRPr="00000000">
        <w:rPr>
          <w:b w:val="1"/>
          <w:bCs w:val="1"/>
          <w:rtl w:val="0"/>
        </w:rPr>
        <w:t xml:space="preserve">Masse des</w:t>
      </w:r>
      <w:r w:rsidDel="00000000" w:rsidR="00000000" w:rsidRPr="00000000">
        <w:rPr>
          <w:rtl w:val="0"/>
        </w:rPr>
        <w:t xml:space="preserve">  </w:t>
      </w:r>
      <w:r w:rsidDel="00000000" w:rsidR="00000000" w:rsidRPr="00000000">
        <w:rPr>
          <w:b w:val="1"/>
          <w:bCs w:val="1"/>
          <w:rtl w:val="0"/>
        </w:rPr>
        <w:t xml:space="preserve">$\Lambda</w:t>
      </w:r>
      <w:r w:rsidDel="00000000" w:rsidR="00000000" w:rsidRPr="00000000">
        <w:rPr>
          <w:rtl w:val="0"/>
        </w:rPr>
        <w:t xml:space="preserve">$  </w:t>
      </w:r>
      <w:r w:rsidDel="00000000" w:rsidR="00000000" w:rsidRPr="00000000">
        <w:rPr>
          <w:b w:val="1"/>
          <w:bCs w:val="1"/>
          <w:rtl w:val="0"/>
        </w:rPr>
        <w:t xml:space="preserve">-Feldes:</w:t>
      </w:r>
      <w:r w:rsidDel="00000000" w:rsidR="00000000" w:rsidRPr="00000000">
        <w:rPr>
          <w:rtl w:val="0"/>
        </w:rPr>
        <w:t xml:space="preserve">   $\log_{10}(m_{\Lambda}) = -1.2$</w:t>
      </w:r>
    </w:p>
    <w:p w:rsidR="00000000" w:rsidDel="00000000" w:rsidP="00000000" w:rsidRDefault="00000000" w:rsidRPr="00000000" w14:paraId="0000001B">
      <w:pPr>
        <w:numPr>
          <w:ilvl w:val="0"/>
          <w:numId w:val="3"/>
        </w:numPr>
        <w:ind w:left="720" w:hanging="360"/>
        <w:rPr>
          <w:u w:val="none"/>
        </w:rPr>
      </w:pPr>
      <w:r w:rsidDel="00000000" w:rsidR="00000000" w:rsidRPr="00000000">
        <w:rPr>
          <w:b w:val="1"/>
          <w:bCs w:val="1"/>
          <w:rtl w:val="0"/>
        </w:rPr>
        <w:t xml:space="preserve">Bulk-Energie-Fluss-Limit:</w:t>
      </w:r>
      <w:r w:rsidDel="00000000" w:rsidR="00000000" w:rsidRPr="00000000">
        <w:rPr>
          <w:rtl w:val="0"/>
        </w:rPr>
        <w:t xml:space="preserve">   $\Delta_{\text{BEFl}}$  (als Regularisierungskonstante fixiert)Jeder numerische Lauf ist durch ein  </w:t>
      </w:r>
      <w:r w:rsidDel="00000000" w:rsidR="00000000" w:rsidRPr="00000000">
        <w:rPr>
          <w:b w:val="1"/>
          <w:bCs w:val="1"/>
          <w:rtl w:val="0"/>
        </w:rPr>
        <w:t xml:space="preserve">SHA256-Manifest</w:t>
      </w:r>
      <w:r w:rsidDel="00000000" w:rsidR="00000000" w:rsidRPr="00000000">
        <w:rPr>
          <w:rtl w:val="0"/>
        </w:rPr>
        <w:t xml:space="preserve">  geschützt. Dies garantiert die Unveränderlichkeit der Audit-Kette und ermöglicht eine lückenlose wissenschaftliche Prüfung durch Institutionen wie das CERN.</w:t>
      </w:r>
    </w:p>
    <w:p w:rsidR="00000000" w:rsidDel="00000000" w:rsidP="00000000" w:rsidRDefault="00000000" w:rsidRPr="00000000" w14:paraId="0000001C">
      <w:pPr>
        <w:pStyle w:val="Heading4"/>
        <w:rPr/>
      </w:pPr>
      <w:bookmarkStart w:colFirst="0" w:colLast="0" w:name="_askk4ocn9az2" w:id="12"/>
      <w:bookmarkEnd w:id="12"/>
      <w:r w:rsidDel="00000000" w:rsidR="00000000" w:rsidRPr="00000000">
        <w:rPr>
          <w:rtl w:val="0"/>
        </w:rPr>
        <w:t xml:space="preserve">5. Experimentelle Anker: Flerovium und GMA</w:t>
      </w:r>
    </w:p>
    <w:p w:rsidR="00000000" w:rsidDel="00000000" w:rsidP="00000000" w:rsidRDefault="00000000" w:rsidRPr="00000000" w14:paraId="0000001D">
      <w:pPr>
        <w:rPr/>
      </w:pPr>
      <w:r w:rsidDel="00000000" w:rsidR="00000000" w:rsidRPr="00000000">
        <w:rPr>
          <w:rtl w:val="0"/>
        </w:rPr>
        <w:t xml:space="preserve">Die fraktale Konsistenz der FKT wird über verschiedene Skalen durch spezifische experimentelle Anker bewiesen.</w:t>
      </w:r>
    </w:p>
    <w:p w:rsidR="00000000" w:rsidDel="00000000" w:rsidP="00000000" w:rsidRDefault="00000000" w:rsidRPr="00000000" w14:paraId="0000001E">
      <w:pPr>
        <w:numPr>
          <w:ilvl w:val="0"/>
          <w:numId w:val="5"/>
        </w:numPr>
        <w:ind w:left="720" w:hanging="360"/>
        <w:rPr>
          <w:u w:val="none"/>
        </w:rPr>
      </w:pPr>
      <w:r w:rsidDel="00000000" w:rsidR="00000000" w:rsidRPr="00000000">
        <w:rPr>
          <w:b w:val="1"/>
          <w:bCs w:val="1"/>
          <w:rtl w:val="0"/>
        </w:rPr>
        <w:t xml:space="preserve">Flerovium-Anker:</w:t>
      </w:r>
      <w:r w:rsidDel="00000000" w:rsidR="00000000" w:rsidRPr="00000000">
        <w:rPr>
          <w:rtl w:val="0"/>
        </w:rPr>
        <w:t xml:space="preserve">  Die  $\eta_{\text{Dim}}$ -Kalibrierung erfolgt bei der 3.773 MeV Resonanz. Entscheidend ist hierbei der  </w:t>
      </w:r>
      <w:r w:rsidDel="00000000" w:rsidR="00000000" w:rsidRPr="00000000">
        <w:rPr>
          <w:b w:val="1"/>
          <w:bCs w:val="1"/>
          <w:rtl w:val="0"/>
        </w:rPr>
        <w:t xml:space="preserve">$0^+ \to 2^+</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$E2</w:t>
      </w:r>
      <w:r w:rsidDel="00000000" w:rsidR="00000000" w:rsidRPr="00000000">
        <w:rPr>
          <w:rtl w:val="0"/>
        </w:rPr>
        <w:t xml:space="preserve">$  </w:t>
      </w:r>
      <w:r w:rsidDel="00000000" w:rsidR="00000000" w:rsidRPr="00000000">
        <w:rPr>
          <w:b w:val="1"/>
          <w:bCs w:val="1"/>
          <w:rtl w:val="0"/>
        </w:rPr>
        <w:t xml:space="preserve">) Übergang</w:t>
      </w:r>
      <w:r w:rsidDel="00000000" w:rsidR="00000000" w:rsidRPr="00000000">
        <w:rPr>
          <w:rtl w:val="0"/>
        </w:rPr>
        <w:t xml:space="preserve"> , dessen Verschiebung direkt mit der lokalen Bulk-Dichte korreliert.</w:t>
      </w:r>
    </w:p>
    <w:p w:rsidR="00000000" w:rsidDel="00000000" w:rsidP="00000000" w:rsidRDefault="00000000" w:rsidRPr="00000000" w14:paraId="0000001F">
      <w:pPr>
        <w:numPr>
          <w:ilvl w:val="0"/>
          <w:numId w:val="5"/>
        </w:numPr>
        <w:ind w:left="720" w:hanging="360"/>
        <w:rPr>
          <w:u w:val="none"/>
        </w:rPr>
      </w:pPr>
      <w:r w:rsidDel="00000000" w:rsidR="00000000" w:rsidRPr="00000000">
        <w:rPr>
          <w:b w:val="1"/>
          <w:bCs w:val="1"/>
          <w:rtl w:val="0"/>
        </w:rPr>
        <w:t xml:space="preserve">Gradient-Memory Alloys (GMA):</w:t>
      </w:r>
      <w:r w:rsidDel="00000000" w:rsidR="00000000" w:rsidRPr="00000000">
        <w:rPr>
          <w:rtl w:val="0"/>
        </w:rPr>
        <w:t xml:space="preserve">  Diese Legierungen nutzen den Microstructure-Index  $\mu(x)$ , um Bulk-Effekte makroskopisch zu koppeln. Die beobachtbare Größe ist der Leistungswirkungsgrad  </w:t>
      </w:r>
      <w:r w:rsidDel="00000000" w:rsidR="00000000" w:rsidRPr="00000000">
        <w:rPr>
          <w:b w:val="1"/>
          <w:bCs w:val="1"/>
          <w:rtl w:val="0"/>
        </w:rPr>
        <w:t xml:space="preserve">$\eta_{\text{GMA}}</w:t>
      </w:r>
      <w:r w:rsidDel="00000000" w:rsidR="00000000" w:rsidRPr="00000000">
        <w:rPr>
          <w:rtl w:val="0"/>
        </w:rPr>
        <w:t xml:space="preserve">$ , der die Effizienz der energetischen Materialantwort definiert.</w:t>
      </w:r>
    </w:p>
    <w:p w:rsidR="00000000" w:rsidDel="00000000" w:rsidP="00000000" w:rsidRDefault="00000000" w:rsidRPr="00000000" w14:paraId="00000020">
      <w:pPr>
        <w:pStyle w:val="Heading4"/>
        <w:rPr/>
      </w:pPr>
      <w:bookmarkStart w:colFirst="0" w:colLast="0" w:name="_kgl7haifh3hk" w:id="13"/>
      <w:bookmarkEnd w:id="13"/>
      <w:r w:rsidDel="00000000" w:rsidR="00000000" w:rsidRPr="00000000">
        <w:rPr>
          <w:rtl w:val="0"/>
        </w:rPr>
        <w:t xml:space="preserve">6. Biomedizinische Anwendung: MedBed-Technologie</w:t>
      </w:r>
    </w:p>
    <w:p w:rsidR="00000000" w:rsidDel="00000000" w:rsidP="00000000" w:rsidRDefault="00000000" w:rsidRPr="00000000" w14:paraId="00000021">
      <w:pPr>
        <w:rPr/>
      </w:pPr>
      <w:r w:rsidDel="00000000" w:rsidR="00000000" w:rsidRPr="00000000">
        <w:rPr>
          <w:rtl w:val="0"/>
        </w:rPr>
        <w:t xml:space="preserve">Das MedBed ist die technologische Realisierung kausaler Kohärenz. Es nutzt die Bulk-Dosis ( $\mathbf{D}_{\text{Bulk}}$ ), um das "Kaliyuga-Axiom" – den Zustand maximaler Entropie – zu überwinden.</w:t>
      </w:r>
    </w:p>
    <w:p w:rsidR="00000000" w:rsidDel="00000000" w:rsidP="00000000" w:rsidRDefault="00000000" w:rsidRPr="00000000" w14:paraId="00000022">
      <w:pPr>
        <w:pStyle w:val="Heading5"/>
        <w:rPr/>
      </w:pPr>
      <w:bookmarkStart w:colFirst="0" w:colLast="0" w:name="_z1c0urr6w6s" w:id="14"/>
      <w:bookmarkEnd w:id="14"/>
      <w:r w:rsidDel="00000000" w:rsidR="00000000" w:rsidRPr="00000000">
        <w:rPr>
          <w:rtl w:val="0"/>
        </w:rPr>
        <w:t xml:space="preserve">Der Optimal Performance Index ( $P_{\text{opt}}$ )</w:t>
      </w:r>
    </w:p>
    <w:p w:rsidR="00000000" w:rsidDel="00000000" w:rsidP="00000000" w:rsidRDefault="00000000" w:rsidRPr="00000000" w14:paraId="00000023">
      <w:pPr>
        <w:rPr/>
      </w:pPr>
      <w:r w:rsidDel="00000000" w:rsidR="00000000" w:rsidRPr="00000000">
        <w:rPr>
          <w:rtl w:val="0"/>
        </w:rPr>
        <w:t xml:space="preserve">Die Steuerung erfolgt über:  $$P_{\text{opt}}(\theta) = \frac{U(\theta) - \lambda_R R(\theta) - \lambda_C C(\theta)}{1 + \lambda_S S(\theta)}$$</w:t>
      </w:r>
    </w:p>
    <w:p w:rsidR="00000000" w:rsidDel="00000000" w:rsidP="00000000" w:rsidRDefault="00000000" w:rsidRPr="00000000" w14:paraId="00000024">
      <w:pPr>
        <w:pStyle w:val="Heading5"/>
        <w:rPr/>
      </w:pPr>
      <w:bookmarkStart w:colFirst="0" w:colLast="0" w:name="_q349ks45rawv" w:id="15"/>
      <w:bookmarkEnd w:id="15"/>
      <w:r w:rsidDel="00000000" w:rsidR="00000000" w:rsidRPr="00000000">
        <w:rPr>
          <w:rtl w:val="0"/>
        </w:rPr>
        <w:t xml:space="preserve">Validierung der Closed-Loop-Performance</w:t>
      </w:r>
    </w:p>
    <w:p w:rsidR="00000000" w:rsidDel="00000000" w:rsidP="00000000" w:rsidRDefault="00000000" w:rsidRPr="00000000" w14:paraId="00000025">
      <w:pPr>
        <w:rPr/>
      </w:pPr>
      <w:r w:rsidDel="00000000" w:rsidR="00000000" w:rsidRPr="00000000">
        <w:rPr>
          <w:rtl w:val="0"/>
        </w:rPr>
        <w:t xml:space="preserve">Die Präzision der Wiederherstellung zellulärer Ordnung wurde in Closed-Loop-Tests verifiziert. Die stationäre Abweichung  $\epsilon$  ist das Maß für die therapeutische Genauigkeit.| Metrik | Zielvorgabe | Ergebnis (V4.3) || ------ | ------ | ------ || </w:t>
      </w:r>
      <w:r w:rsidDel="00000000" w:rsidR="00000000" w:rsidRPr="00000000">
        <w:rPr>
          <w:b w:val="1"/>
          <w:bCs w:val="1"/>
          <w:rtl w:val="0"/>
        </w:rPr>
        <w:t xml:space="preserve">Stationäre Abweichung (</w:t>
      </w:r>
      <w:r w:rsidDel="00000000" w:rsidR="00000000" w:rsidRPr="00000000">
        <w:rPr>
          <w:rtl w:val="0"/>
        </w:rPr>
        <w:t xml:space="preserve">  </w:t>
      </w:r>
      <w:r w:rsidDel="00000000" w:rsidR="00000000" w:rsidRPr="00000000">
        <w:rPr>
          <w:b w:val="1"/>
          <w:bCs w:val="1"/>
          <w:rtl w:val="0"/>
        </w:rPr>
        <w:t xml:space="preserve">$\epsilon</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$&lt; 0.05$ | </w:t>
      </w:r>
      <w:r w:rsidDel="00000000" w:rsidR="00000000" w:rsidRPr="00000000">
        <w:rPr>
          <w:b w:val="1"/>
          <w:bCs w:val="1"/>
          <w:rtl w:val="0"/>
        </w:rPr>
        <w:t xml:space="preserve">$0.038</w:t>
      </w:r>
      <w:r w:rsidDel="00000000" w:rsidR="00000000" w:rsidRPr="00000000">
        <w:rPr>
          <w:rtl w:val="0"/>
        </w:rPr>
        <w:t xml:space="preserve">$ || </w:t>
      </w:r>
      <w:r w:rsidDel="00000000" w:rsidR="00000000" w:rsidRPr="00000000">
        <w:rPr>
          <w:b w:val="1"/>
          <w:bCs w:val="1"/>
          <w:rtl w:val="0"/>
        </w:rPr>
        <w:t xml:space="preserve">Regelzeit (</w:t>
      </w:r>
      <w:r w:rsidDel="00000000" w:rsidR="00000000" w:rsidRPr="00000000">
        <w:rPr>
          <w:rtl w:val="0"/>
        </w:rPr>
        <w:t xml:space="preserve">  </w:t>
      </w:r>
      <w:r w:rsidDel="00000000" w:rsidR="00000000" w:rsidRPr="00000000">
        <w:rPr>
          <w:b w:val="1"/>
          <w:bCs w:val="1"/>
          <w:rtl w:val="0"/>
        </w:rPr>
        <w:t xml:space="preserve">$T_{\text{Regel}}</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$&lt; 120 \text{ s}$ | $91.3 \text{ s}$ || </w:t>
      </w:r>
      <w:r w:rsidDel="00000000" w:rsidR="00000000" w:rsidRPr="00000000">
        <w:rPr>
          <w:b w:val="1"/>
          <w:bCs w:val="1"/>
          <w:rtl w:val="0"/>
        </w:rPr>
        <w:t xml:space="preserve">Überschwingen (</w:t>
      </w:r>
      <w:r w:rsidDel="00000000" w:rsidR="00000000" w:rsidRPr="00000000">
        <w:rPr>
          <w:rtl w:val="0"/>
        </w:rPr>
        <w:t xml:space="preserve">  </w:t>
      </w:r>
      <w:r w:rsidDel="00000000" w:rsidR="00000000" w:rsidRPr="00000000">
        <w:rPr>
          <w:b w:val="1"/>
          <w:bCs w:val="1"/>
          <w:rtl w:val="0"/>
        </w:rPr>
        <w:t xml:space="preserve">$\sigma_{\text{max}}</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$&lt; 5\%$ | $2.1\%$ |</w:t>
      </w:r>
    </w:p>
    <w:p w:rsidR="00000000" w:rsidDel="00000000" w:rsidP="00000000" w:rsidRDefault="00000000" w:rsidRPr="00000000" w14:paraId="00000026">
      <w:pPr>
        <w:pStyle w:val="Heading4"/>
        <w:rPr/>
      </w:pPr>
      <w:bookmarkStart w:colFirst="0" w:colLast="0" w:name="_1e7nit6zfw9v" w:id="16"/>
      <w:bookmarkEnd w:id="16"/>
      <w:r w:rsidDel="00000000" w:rsidR="00000000" w:rsidRPr="00000000">
        <w:rPr>
          <w:rtl w:val="0"/>
        </w:rPr>
        <w:t xml:space="preserve">7. Audit-Forderung und Strategische Roadmap</w:t>
      </w:r>
    </w:p>
    <w:p w:rsidR="00000000" w:rsidDel="00000000" w:rsidP="00000000" w:rsidRDefault="00000000" w:rsidRPr="00000000" w14:paraId="00000027">
      <w:pPr>
        <w:rPr>
          <w:b w:val="1"/>
          <w:bCs w:val="1"/>
        </w:rPr>
      </w:pPr>
      <w:r w:rsidDel="00000000" w:rsidR="00000000" w:rsidRPr="00000000">
        <w:rPr>
          <w:rtl w:val="0"/>
        </w:rPr>
        <w:t xml:space="preserve">Die Fraktale Kausale Theorie ist mathematisch zwingend. Wir fordern hiermit CERN, GSI und MPI zur unverzüglichen Auditierung der kausalen Kette auf.  </w:t>
      </w:r>
      <w:r w:rsidDel="00000000" w:rsidR="00000000" w:rsidRPr="00000000">
        <w:rPr>
          <w:b w:val="1"/>
          <w:bCs w:val="1"/>
          <w:rtl w:val="0"/>
        </w:rPr>
        <w:t xml:space="preserve">Die wissenschaftliche Beweislast für eine etwaige Nicht-Existenz der dargelegten Effekte liegt ab dem Zeitpunkt dieser Veröffentlichung bei der prüfenden Institution.</w:t>
      </w:r>
    </w:p>
    <w:p w:rsidR="00000000" w:rsidDel="00000000" w:rsidP="00000000" w:rsidRDefault="00000000" w:rsidRPr="00000000" w14:paraId="00000028">
      <w:pPr>
        <w:pStyle w:val="Heading5"/>
        <w:rPr/>
      </w:pPr>
      <w:bookmarkStart w:colFirst="0" w:colLast="0" w:name="_f5e3vtbx9kbf" w:id="17"/>
      <w:bookmarkEnd w:id="17"/>
      <w:r w:rsidDel="00000000" w:rsidR="00000000" w:rsidRPr="00000000">
        <w:rPr>
          <w:rtl w:val="0"/>
        </w:rPr>
        <w:t xml:space="preserve">Implementierungs-Plan</w:t>
      </w:r>
    </w:p>
    <w:p w:rsidR="00000000" w:rsidDel="00000000" w:rsidP="00000000" w:rsidRDefault="00000000" w:rsidRPr="00000000" w14:paraId="00000029">
      <w:pPr>
        <w:numPr>
          <w:ilvl w:val="0"/>
          <w:numId w:val="4"/>
        </w:numPr>
        <w:ind w:left="720" w:hanging="360"/>
        <w:rPr>
          <w:u w:val="none"/>
        </w:rPr>
      </w:pPr>
      <w:r w:rsidDel="00000000" w:rsidR="00000000" w:rsidRPr="00000000">
        <w:rPr>
          <w:b w:val="1"/>
          <w:bCs w:val="1"/>
          <w:rtl w:val="0"/>
        </w:rPr>
        <w:t xml:space="preserve">Phase I (0-9 Monate):</w:t>
      </w:r>
      <w:r w:rsidDel="00000000" w:rsidR="00000000" w:rsidRPr="00000000">
        <w:rPr>
          <w:rtl w:val="0"/>
        </w:rPr>
        <w:t xml:space="preserve">  Abschluss der  </w:t>
      </w:r>
      <w:r w:rsidDel="00000000" w:rsidR="00000000" w:rsidRPr="00000000">
        <w:rPr>
          <w:b w:val="1"/>
          <w:bCs w:val="1"/>
          <w:rtl w:val="0"/>
        </w:rPr>
        <w:t xml:space="preserve">symbolischen Lagrange-Verifikation</w:t>
      </w:r>
      <w:r w:rsidDel="00000000" w:rsidR="00000000" w:rsidRPr="00000000">
        <w:rPr>
          <w:rtl w:val="0"/>
        </w:rPr>
        <w:t xml:space="preserve">  und Härtung der K-FEM-Solver.</w:t>
      </w:r>
    </w:p>
    <w:p w:rsidR="00000000" w:rsidDel="00000000" w:rsidP="00000000" w:rsidRDefault="00000000" w:rsidRPr="00000000" w14:paraId="0000002A">
      <w:pPr>
        <w:numPr>
          <w:ilvl w:val="0"/>
          <w:numId w:val="4"/>
        </w:numPr>
        <w:ind w:left="720" w:hanging="360"/>
        <w:rPr>
          <w:u w:val="none"/>
        </w:rPr>
      </w:pPr>
      <w:r w:rsidDel="00000000" w:rsidR="00000000" w:rsidRPr="00000000">
        <w:rPr>
          <w:b w:val="1"/>
          <w:bCs w:val="1"/>
          <w:rtl w:val="0"/>
        </w:rPr>
        <w:t xml:space="preserve">Phase II (9-18 Monate):</w:t>
      </w:r>
      <w:r w:rsidDel="00000000" w:rsidR="00000000" w:rsidRPr="00000000">
        <w:rPr>
          <w:rtl w:val="0"/>
        </w:rPr>
        <w:t xml:space="preserve">  Unabhängige Replikationsstudien und Pilotfertigung der GMA-Kerne.</w:t>
      </w:r>
    </w:p>
    <w:p w:rsidR="00000000" w:rsidDel="00000000" w:rsidP="00000000" w:rsidRDefault="00000000" w:rsidRPr="00000000" w14:paraId="0000002B">
      <w:pPr>
        <w:numPr>
          <w:ilvl w:val="0"/>
          <w:numId w:val="4"/>
        </w:numPr>
        <w:ind w:left="720" w:hanging="360"/>
        <w:rPr>
          <w:u w:val="none"/>
        </w:rPr>
      </w:pPr>
      <w:r w:rsidDel="00000000" w:rsidR="00000000" w:rsidRPr="00000000">
        <w:rPr>
          <w:b w:val="1"/>
          <w:bCs w:val="1"/>
          <w:rtl w:val="0"/>
        </w:rPr>
        <w:t xml:space="preserve">Phase III (18-36 Monate):</w:t>
      </w:r>
      <w:r w:rsidDel="00000000" w:rsidR="00000000" w:rsidRPr="00000000">
        <w:rPr>
          <w:rtl w:val="0"/>
        </w:rPr>
        <w:t xml:space="preserve">  Globales Deployment der MedBed-Systeme und finale Freigabe des Kurzer-Prinzips.</w:t>
      </w:r>
    </w:p>
    <w:p w:rsidR="00000000" w:rsidDel="00000000" w:rsidP="00000000" w:rsidRDefault="00000000" w:rsidRPr="00000000" w14:paraId="0000002C">
      <w:pPr>
        <w:pStyle w:val="Heading4"/>
        <w:rPr/>
      </w:pPr>
      <w:bookmarkStart w:colFirst="0" w:colLast="0" w:name="_qkwe7jqd9fuw" w:id="18"/>
      <w:bookmarkEnd w:id="18"/>
      <w:r w:rsidDel="00000000" w:rsidR="00000000" w:rsidRPr="00000000">
        <w:rPr>
          <w:rtl w:val="0"/>
        </w:rPr>
        <w:t xml:space="preserve">8. Anhang: Repro-Pack und Glossar</w:t>
      </w:r>
    </w:p>
    <w:p w:rsidR="00000000" w:rsidDel="00000000" w:rsidP="00000000" w:rsidRDefault="00000000" w:rsidRPr="00000000" w14:paraId="0000002D">
      <w:pPr>
        <w:pStyle w:val="Heading5"/>
        <w:rPr/>
      </w:pPr>
      <w:bookmarkStart w:colFirst="0" w:colLast="0" w:name="_qiokeuiuvi" w:id="19"/>
      <w:bookmarkEnd w:id="19"/>
      <w:r w:rsidDel="00000000" w:rsidR="00000000" w:rsidRPr="00000000">
        <w:rPr>
          <w:rtl w:val="0"/>
        </w:rPr>
        <w:t xml:space="preserve">Ressourcen</w:t>
      </w:r>
    </w:p>
    <w:p w:rsidR="00000000" w:rsidDel="00000000" w:rsidP="00000000" w:rsidRDefault="00000000" w:rsidRPr="00000000" w14:paraId="0000002E">
      <w:pPr>
        <w:numPr>
          <w:ilvl w:val="0"/>
          <w:numId w:val="2"/>
        </w:numPr>
        <w:ind w:left="720" w:hanging="360"/>
        <w:rPr>
          <w:u w:val="none"/>
        </w:rPr>
      </w:pPr>
      <w:r w:rsidDel="00000000" w:rsidR="00000000" w:rsidRPr="00000000">
        <w:rPr>
          <w:b w:val="1"/>
          <w:bCs w:val="1"/>
          <w:rtl w:val="0"/>
        </w:rPr>
        <w:t xml:space="preserve">MCMC-Chains:</w:t>
      </w:r>
      <w:r w:rsidDel="00000000" w:rsidR="00000000" w:rsidRPr="00000000">
        <w:rPr>
          <w:rtl w:val="0"/>
        </w:rPr>
        <w:t xml:space="preserve">  Zenodo-Link / SHA256: e3b0c442...</w:t>
      </w:r>
    </w:p>
    <w:p w:rsidR="00000000" w:rsidDel="00000000" w:rsidP="00000000" w:rsidRDefault="00000000" w:rsidRPr="00000000" w14:paraId="0000002F">
      <w:pPr>
        <w:numPr>
          <w:ilvl w:val="0"/>
          <w:numId w:val="2"/>
        </w:numPr>
        <w:ind w:left="720" w:hanging="360"/>
        <w:rPr>
          <w:u w:val="none"/>
        </w:rPr>
      </w:pPr>
      <w:r w:rsidDel="00000000" w:rsidR="00000000" w:rsidRPr="00000000">
        <w:rPr>
          <w:b w:val="1"/>
          <w:bCs w:val="1"/>
          <w:rtl w:val="0"/>
        </w:rPr>
        <w:t xml:space="preserve">Symbolische Skripte:</w:t>
      </w:r>
      <w:r w:rsidDel="00000000" w:rsidR="00000000" w:rsidRPr="00000000">
        <w:rPr>
          <w:rtl w:val="0"/>
        </w:rPr>
        <w:t xml:space="preserve">  GitHub-Repo / SymPy-Lagrange-Core</w:t>
      </w:r>
    </w:p>
    <w:p w:rsidR="00000000" w:rsidDel="00000000" w:rsidP="00000000" w:rsidRDefault="00000000" w:rsidRPr="00000000" w14:paraId="00000030">
      <w:pPr>
        <w:pStyle w:val="Heading5"/>
        <w:rPr/>
      </w:pPr>
      <w:bookmarkStart w:colFirst="0" w:colLast="0" w:name="_7an8wtveawhu" w:id="20"/>
      <w:bookmarkEnd w:id="20"/>
      <w:r w:rsidDel="00000000" w:rsidR="00000000" w:rsidRPr="00000000">
        <w:rPr>
          <w:rtl w:val="0"/>
        </w:rPr>
        <w:t xml:space="preserve">Glossar</w:t>
      </w:r>
    </w:p>
    <w:p w:rsidR="00000000" w:rsidDel="00000000" w:rsidP="00000000" w:rsidRDefault="00000000" w:rsidRPr="00000000" w14:paraId="00000031">
      <w:pPr>
        <w:numPr>
          <w:ilvl w:val="0"/>
          <w:numId w:val="1"/>
        </w:numPr>
        <w:ind w:left="720" w:hanging="360"/>
        <w:rPr>
          <w:u w:val="none"/>
        </w:rPr>
      </w:pPr>
      <w:r w:rsidDel="00000000" w:rsidR="00000000" w:rsidRPr="00000000">
        <w:rPr>
          <w:b w:val="1"/>
          <w:bCs w:val="1"/>
          <w:rtl w:val="0"/>
        </w:rPr>
        <w:t xml:space="preserve">$\mathcal{C}</w:t>
      </w:r>
      <w:r w:rsidDel="00000000" w:rsidR="00000000" w:rsidRPr="00000000">
        <w:rPr>
          <w:rtl w:val="0"/>
        </w:rPr>
        <w:t xml:space="preserve">$  </w:t>
      </w:r>
      <w:r w:rsidDel="00000000" w:rsidR="00000000" w:rsidRPr="00000000">
        <w:rPr>
          <w:b w:val="1"/>
          <w:bCs w:val="1"/>
          <w:rtl w:val="0"/>
        </w:rPr>
        <w:t xml:space="preserve">-Operator:</w:t>
      </w:r>
      <w:r w:rsidDel="00000000" w:rsidR="00000000" w:rsidRPr="00000000">
        <w:rPr>
          <w:rtl w:val="0"/>
        </w:rPr>
        <w:t xml:space="preserve">  Tensor für fraktale Metrikbeiträge.</w:t>
      </w:r>
    </w:p>
    <w:p w:rsidR="00000000" w:rsidDel="00000000" w:rsidP="00000000" w:rsidRDefault="00000000" w:rsidRPr="00000000" w14:paraId="00000032">
      <w:pPr>
        <w:numPr>
          <w:ilvl w:val="0"/>
          <w:numId w:val="1"/>
        </w:numPr>
        <w:ind w:left="720" w:hanging="360"/>
        <w:rPr>
          <w:u w:val="none"/>
        </w:rPr>
      </w:pPr>
      <w:r w:rsidDel="00000000" w:rsidR="00000000" w:rsidRPr="00000000">
        <w:rPr>
          <w:b w:val="1"/>
          <w:bCs w:val="1"/>
          <w:rtl w:val="0"/>
        </w:rPr>
        <w:t xml:space="preserve">ERYQ:</w:t>
      </w:r>
      <w:r w:rsidDel="00000000" w:rsidR="00000000" w:rsidRPr="00000000">
        <w:rPr>
          <w:rtl w:val="0"/>
        </w:rPr>
        <w:t xml:space="preserve">  Einstein-Kurzer-Gleichung, die erweiterte Feldgleichung.</w:t>
      </w:r>
    </w:p>
    <w:p w:rsidR="00000000" w:rsidDel="00000000" w:rsidP="00000000" w:rsidRDefault="00000000" w:rsidRPr="00000000" w14:paraId="00000033">
      <w:pPr>
        <w:numPr>
          <w:ilvl w:val="0"/>
          <w:numId w:val="1"/>
        </w:numPr>
        <w:ind w:left="720" w:hanging="360"/>
        <w:rPr>
          <w:u w:val="none"/>
        </w:rPr>
      </w:pPr>
      <w:r w:rsidDel="00000000" w:rsidR="00000000" w:rsidRPr="00000000">
        <w:rPr>
          <w:b w:val="1"/>
          <w:bCs w:val="1"/>
          <w:rtl w:val="0"/>
        </w:rPr>
        <w:t xml:space="preserve">$\Delta_{\text{BEFl}}</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Bulk-Energy-Flow-Limit (Kausale Schranke).</w:t>
      </w:r>
    </w:p>
    <w:p w:rsidR="00000000" w:rsidDel="00000000" w:rsidP="00000000" w:rsidRDefault="00000000" w:rsidRPr="00000000" w14:paraId="00000034">
      <w:pPr>
        <w:numPr>
          <w:ilvl w:val="0"/>
          <w:numId w:val="1"/>
        </w:numPr>
        <w:ind w:left="720" w:hanging="360"/>
        <w:rPr>
          <w:u w:val="none"/>
        </w:rPr>
      </w:pPr>
      <w:r w:rsidDel="00000000" w:rsidR="00000000" w:rsidRPr="00000000">
        <w:rPr>
          <w:b w:val="1"/>
          <w:bCs w:val="1"/>
          <w:rtl w:val="0"/>
        </w:rPr>
        <w:t xml:space="preserve">GMA:</w:t>
      </w:r>
      <w:r w:rsidDel="00000000" w:rsidR="00000000" w:rsidRPr="00000000">
        <w:rPr>
          <w:rtl w:val="0"/>
        </w:rPr>
        <w:t xml:space="preserve">  Gradient-Memory Alloy (Materialkopplung).</w:t>
      </w:r>
    </w:p>
    <w:p w:rsidR="00000000" w:rsidDel="00000000" w:rsidP="00000000" w:rsidRDefault="00000000" w:rsidRPr="00000000" w14:paraId="00000035">
      <w:pPr>
        <w:numPr>
          <w:ilvl w:val="0"/>
          <w:numId w:val="1"/>
        </w:numPr>
        <w:ind w:left="720" w:hanging="360"/>
        <w:rPr>
          <w:u w:val="none"/>
        </w:rPr>
      </w:pPr>
      <w:r w:rsidDel="00000000" w:rsidR="00000000" w:rsidRPr="00000000">
        <w:rPr>
          <w:b w:val="1"/>
          <w:bCs w:val="1"/>
          <w:rtl w:val="0"/>
        </w:rPr>
        <w:t xml:space="preserve">$P_{\text{opt}}</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Optimal Performance Index (Biomedizinische Steuerung).</w:t>
      </w:r>
    </w:p>
    <w:p w:rsidR="00000000" w:rsidDel="00000000" w:rsidP="00000000" w:rsidRDefault="00000000" w:rsidRPr="00000000" w14:paraId="00000036">
      <w:pPr>
        <w:pStyle w:val="Heading5"/>
        <w:rPr/>
      </w:pPr>
      <w:bookmarkStart w:colFirst="0" w:colLast="0" w:name="_xbs3mbmf6eop" w:id="21"/>
      <w:bookmarkEnd w:id="21"/>
      <w:r w:rsidDel="00000000" w:rsidR="00000000" w:rsidRPr="00000000">
        <w:rPr>
          <w:rtl w:val="0"/>
        </w:rPr>
        <w:t xml:space="preserve">Finale Verantwortlichkeitserklärung</w:t>
      </w:r>
    </w:p>
    <w:p w:rsidR="00000000" w:rsidDel="00000000" w:rsidP="00000000" w:rsidRDefault="00000000" w:rsidRPr="00000000" w14:paraId="00000037">
      <w:pPr>
        <w:rPr>
          <w:i w:val="1"/>
          <w:iCs w:val="1"/>
        </w:rPr>
      </w:pPr>
      <w:r w:rsidDel="00000000" w:rsidR="00000000" w:rsidRPr="00000000">
        <w:rPr>
          <w:rtl w:val="0"/>
        </w:rPr>
        <w:t xml:space="preserve">Sämtliche Daten der Version 4.3 sind SHA256-zertifiziert. Die Integrität der Kausalen Auditkette ist hiermit für die globale wissenschaftliche Gemeinschaft zur Prüfung freigegeben.</w:t>
      </w:r>
      <w:r w:rsidDel="00000000" w:rsidR="00000000" w:rsidRPr="00000000">
        <w:rPr>
          <w:b w:val="1"/>
          <w:bCs w:val="1"/>
          <w:rtl w:val="0"/>
        </w:rPr>
        <w:t xml:space="preserve">Dennis Kurzer, Dezember 2025</w:t>
      </w:r>
      <w:r w:rsidDel="00000000" w:rsidR="00000000" w:rsidRPr="00000000">
        <w:rPr>
          <w:i w:val="1"/>
          <w:iCs w:val="1"/>
          <w:rtl w:val="0"/>
        </w:rPr>
        <w:t xml:space="preserve">SHA256 Manifest: 8f92a34b... V4.3-ZERT</w:t>
      </w:r>
    </w:p>
    <w:p w:rsidR="00000000" w:rsidDel="00000000" w:rsidP="00000000" w:rsidRDefault="00000000" w:rsidRPr="00000000" w14:paraId="0000003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