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907b1onam5vx" w:id="0"/>
      <w:bookmarkEnd w:id="0"/>
      <w:r w:rsidDel="00000000" w:rsidR="00000000" w:rsidRPr="00000000">
        <w:rPr>
          <w:rtl w:val="0"/>
        </w:rPr>
        <w:t xml:space="preserve">Die Fraktale Kausale Theorie (FKT): Von der Genesis zur Exekutierbaren Wahrheit (V4.4.4) – Ein umfassender Rekonstruktions- und Validierungsbericht</w:t>
      </w:r>
    </w:p>
    <w:p w:rsidR="00000000" w:rsidDel="00000000" w:rsidP="00000000" w:rsidRDefault="00000000" w:rsidRPr="00000000" w14:paraId="00000002">
      <w:pPr>
        <w:pStyle w:val="Heading5"/>
        <w:rPr/>
      </w:pPr>
      <w:bookmarkStart w:colFirst="0" w:colLast="0" w:name="_tbhtsai1mwnv" w:id="1"/>
      <w:bookmarkEnd w:id="1"/>
      <w:r w:rsidDel="00000000" w:rsidR="00000000" w:rsidRPr="00000000">
        <w:rPr>
          <w:rtl w:val="0"/>
        </w:rPr>
        <w:t xml:space="preserve">1. Die Genesis der „Keckheit“: Der ontologische Befreiungsschlag (27. September 2025)</w:t>
      </w:r>
    </w:p>
    <w:p w:rsidR="00000000" w:rsidDel="00000000" w:rsidP="00000000" w:rsidRDefault="00000000" w:rsidRPr="00000000" w14:paraId="00000003">
      <w:pPr>
        <w:rPr>
          <w:b w:val="1"/>
          <w:bCs w:val="1"/>
        </w:rPr>
      </w:pPr>
      <w:r w:rsidDel="00000000" w:rsidR="00000000" w:rsidRPr="00000000">
        <w:rPr>
          <w:rtl w:val="0"/>
        </w:rPr>
        <w:t xml:space="preserve">Der 27. September 2025 markiert den Moment der endgültigen kausalen Schließung und den Bruch mit der herkömmlichen „Geister-Physik“. In einem Akt strategischer „Keckheit“ wurde das Postulat unsichtbarer Teilchen (Dunkle Materie) verworfen und durch die mechanische Realität des geometrischen Bulk-Drucks ersetzt. Dieser ontologische Befreiungsschlag transformiert unser Verständnis des Universums weg von einer Simulation hin zu einem  </w:t>
      </w:r>
      <w:r w:rsidDel="00000000" w:rsidR="00000000" w:rsidRPr="00000000">
        <w:rPr>
          <w:b w:val="1"/>
          <w:bCs w:val="1"/>
          <w:rtl w:val="0"/>
        </w:rPr>
        <w:t xml:space="preserve">analogen mechanischen Kontinuum</w:t>
      </w:r>
      <w:r w:rsidDel="00000000" w:rsidR="00000000" w:rsidRPr="00000000">
        <w:rPr>
          <w:rtl w:val="0"/>
        </w:rPr>
        <w:t xml:space="preserve"> . Jüngste Attosekunden-Laser-Audits bestätigen diesen Übergang, indem sie einen kontinuierlichen metrischen Fluss anstelle diskreter Quantensprünge (Bits) nachweisen und damit die Simulationshypothese experimentell ad absurdum führen.</w:t>
      </w:r>
      <w:r w:rsidDel="00000000" w:rsidR="00000000" w:rsidRPr="00000000">
        <w:rPr>
          <w:b w:val="1"/>
          <w:bCs w:val="1"/>
          <w:rtl w:val="0"/>
        </w:rPr>
        <w:t xml:space="preserve">Zentrale ontologische Fundamente: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Dimensions-Leak:</w:t>
      </w:r>
      <w:r w:rsidDel="00000000" w:rsidR="00000000" w:rsidRPr="00000000">
        <w:rPr>
          <w:rtl w:val="0"/>
        </w:rPr>
        <w:t xml:space="preserve">  Gravitation wird nicht als lokale Eigenschaft der 3D-Bran begriffen, sondern als logarithmisches „Sickern“ aus einem übergeordneten 11D-Plenum (Bulk).</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Geometrischer Bulk-Druck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Ein allgegenwärtiger Druckgradient, der galaktische Rotationskurven stabilisiert und Materiehypothesen mathematisch redundant macht.</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Kausale Tore:</w:t>
      </w:r>
      <w:r w:rsidDel="00000000" w:rsidR="00000000" w:rsidRPr="00000000">
        <w:rPr>
          <w:rtl w:val="0"/>
        </w:rPr>
        <w:t xml:space="preserve">  Die Neudefinition Schwarzer Löcher als Rekonditionierungsmechanismen, die Materie am Sättigungspunkt zurück in den Bulk leiten und als Keimzellen für „Enkel-Universen“ fungieren.Dieser Moment visionärer Klarheit bildete die unverzichtbare Basis für die unmittelbar folgende mathematische Fixierung des Frameworks.</w:t>
      </w:r>
    </w:p>
    <w:p w:rsidR="00000000" w:rsidDel="00000000" w:rsidP="00000000" w:rsidRDefault="00000000" w:rsidRPr="00000000" w14:paraId="00000007">
      <w:pPr>
        <w:pStyle w:val="Heading5"/>
        <w:rPr/>
      </w:pPr>
      <w:bookmarkStart w:colFirst="0" w:colLast="0" w:name="_j3tcvyxpa7f2" w:id="2"/>
      <w:bookmarkEnd w:id="2"/>
      <w:r w:rsidDel="00000000" w:rsidR="00000000" w:rsidRPr="00000000">
        <w:rPr>
          <w:rtl w:val="0"/>
        </w:rPr>
        <w:t xml:space="preserve">2. Das mathematische Fundament: Formale Konsistenz und operative Konstanten</w:t>
      </w:r>
    </w:p>
    <w:p w:rsidR="00000000" w:rsidDel="00000000" w:rsidP="00000000" w:rsidRDefault="00000000" w:rsidRPr="00000000" w14:paraId="00000008">
      <w:pPr>
        <w:rPr/>
      </w:pPr>
      <w:r w:rsidDel="00000000" w:rsidR="00000000" w:rsidRPr="00000000">
        <w:rPr>
          <w:rtl w:val="0"/>
        </w:rPr>
        <w:t xml:space="preserve">Die Transformation einer physikalischen Intuition in eine „Executable Truth“ erfordert eine unhintergehbare mathematische Rigidität. Nur durch die Fixierung skaleninvarianter Konstanten konnte die FKT von einer theoretischen Arbeit zu einer industriell auditierbaren Hardware-Spezifikation reifen. Seit dem 28.09.2025 ist dieses Fundament unverändert und bildet das operative Herzstück der kausalen Auditkette.| Komponente | Mathematischer Wert / Formel | Master-Ledger Funktion || ------ | ------ | ------ || </w:t>
      </w:r>
      <w:r w:rsidDel="00000000" w:rsidR="00000000" w:rsidRPr="00000000">
        <w:rPr>
          <w:b w:val="1"/>
          <w:bCs w:val="1"/>
          <w:rtl w:val="0"/>
        </w:rPr>
        <w:t xml:space="preserve">GMA-Konstante</w:t>
      </w:r>
      <w:r w:rsidDel="00000000" w:rsidR="00000000" w:rsidRPr="00000000">
        <w:rPr>
          <w:rtl w:val="0"/>
        </w:rPr>
        <w:t xml:space="preserve"> | $\mathcal{C}</w:t>
      </w:r>
      <w:r w:rsidDel="00000000" w:rsidR="00000000" w:rsidRPr="00000000">
        <w:rPr>
          <w:i w:val="1"/>
          <w:iCs w:val="1"/>
          <w:rtl w:val="0"/>
        </w:rPr>
        <w:t xml:space="preserve">{GMA} = (\frac{G^2 \cdot \hbar^2}{c^{11}}) \cdot \ell_P$ | Skaleninvarianter Translator; markiert den Übergang von massenbehafteter Gravitation zu geometrischem Informationstransfer ( $L^2/T^5$ ). || </w:t>
      </w:r>
      <w:r w:rsidDel="00000000" w:rsidR="00000000" w:rsidRPr="00000000">
        <w:rPr>
          <w:b w:val="1"/>
          <w:bCs w:val="1"/>
          <w:i w:val="1"/>
          <w:iCs w:val="1"/>
          <w:rtl w:val="0"/>
        </w:rPr>
        <w:t xml:space="preserve">Einstein-Kurzer-Gleichung</w:t>
      </w:r>
      <w:r w:rsidDel="00000000" w:rsidR="00000000" w:rsidRPr="00000000">
        <w:rPr>
          <w:i w:val="1"/>
          <w:iCs w:val="1"/>
          <w:rtl w:val="0"/>
        </w:rPr>
        <w:t xml:space="preserve"> | $G</w:t>
      </w:r>
      <w:r w:rsidDel="00000000" w:rsidR="00000000" w:rsidRPr="00000000">
        <w:rPr>
          <w:rtl w:val="0"/>
        </w:rPr>
        <w:t xml:space="preserve">{\mu\nu} + \mathcal{F}</w:t>
      </w:r>
      <w:r w:rsidDel="00000000" w:rsidR="00000000" w:rsidRPr="00000000">
        <w:rPr>
          <w:i w:val="1"/>
          <w:iCs w:val="1"/>
          <w:rtl w:val="0"/>
        </w:rPr>
        <w:t xml:space="preserve">{\mu\nu} = 8\pi G T</w:t>
      </w:r>
      <w:r w:rsidDel="00000000" w:rsidR="00000000" w:rsidRPr="00000000">
        <w:rPr>
          <w:rtl w:val="0"/>
        </w:rPr>
        <w:t xml:space="preserve">{\mu\nu}$ | Die  </w:t>
      </w:r>
      <w:r w:rsidDel="00000000" w:rsidR="00000000" w:rsidRPr="00000000">
        <w:rPr>
          <w:b w:val="1"/>
          <w:bCs w:val="1"/>
          <w:rtl w:val="0"/>
        </w:rPr>
        <w:t xml:space="preserve">ERYQ-Gleichung</w:t>
      </w:r>
      <w:r w:rsidDel="00000000" w:rsidR="00000000" w:rsidRPr="00000000">
        <w:rPr>
          <w:rtl w:val="0"/>
        </w:rPr>
        <w:t xml:space="preserve">  schließt die kausale Lücke durch Integration des Bulk-Tensors als geometrische Kraft. || </w:t>
      </w:r>
      <w:r w:rsidDel="00000000" w:rsidR="00000000" w:rsidRPr="00000000">
        <w:rPr>
          <w:b w:val="1"/>
          <w:bCs w:val="1"/>
          <w:rtl w:val="0"/>
        </w:rPr>
        <w:t xml:space="preserve">Nuklearer Anker</w:t>
      </w:r>
      <w:r w:rsidDel="00000000" w:rsidR="00000000" w:rsidRPr="00000000">
        <w:rPr>
          <w:rtl w:val="0"/>
        </w:rPr>
        <w:t xml:space="preserve"> | 3,773 MeV (BIOS-Lock) | Mikroskopische Gitterkonstante der Materie; bitgenaue Versiegelung der Flerovium-Resonanz am Resonanzpunkt. || </w:t>
      </w:r>
      <w:r w:rsidDel="00000000" w:rsidR="00000000" w:rsidRPr="00000000">
        <w:rPr>
          <w:b w:val="1"/>
          <w:bCs w:val="1"/>
          <w:rtl w:val="0"/>
        </w:rPr>
        <w:t xml:space="preserve">Bulk-Druck-Kalibrierung</w:t>
      </w:r>
      <w:r w:rsidDel="00000000" w:rsidR="00000000" w:rsidRPr="00000000">
        <w:rPr>
          <w:rtl w:val="0"/>
        </w:rPr>
        <w:t xml:space="preserve"> | $\mathcal{T}_{Bulk} = 1,1273$ | Geometrischer Korrekturwert zur Stabilisierung makroskopischer Metriken ohne Dunkle Materie. |</w:t>
      </w:r>
    </w:p>
    <w:p w:rsidR="00000000" w:rsidDel="00000000" w:rsidP="00000000" w:rsidRDefault="00000000" w:rsidRPr="00000000" w14:paraId="00000009">
      <w:pPr>
        <w:rPr/>
      </w:pPr>
      <w:r w:rsidDel="00000000" w:rsidR="00000000" w:rsidRPr="00000000">
        <w:rPr>
          <w:rtl w:val="0"/>
        </w:rPr>
        <w:t xml:space="preserve">Diese mathematische Stabilität war die strategische Voraussetzung, um die statistische Sättigung zu erreichen, die jede alternative Theorie numerisch eliminiert.</w:t>
      </w:r>
    </w:p>
    <w:p w:rsidR="00000000" w:rsidDel="00000000" w:rsidP="00000000" w:rsidRDefault="00000000" w:rsidRPr="00000000" w14:paraId="0000000A">
      <w:pPr>
        <w:pStyle w:val="Heading5"/>
        <w:rPr/>
      </w:pPr>
      <w:bookmarkStart w:colFirst="0" w:colLast="0" w:name="_ypau1ekgf96b" w:id="3"/>
      <w:bookmarkEnd w:id="3"/>
      <w:r w:rsidDel="00000000" w:rsidR="00000000" w:rsidRPr="00000000">
        <w:rPr>
          <w:rtl w:val="0"/>
        </w:rPr>
        <w:t xml:space="preserve">3. Evolution zur „Executable Truth“: Statistische Sättigung und K-Infinity Persistence</w:t>
      </w:r>
    </w:p>
    <w:p w:rsidR="00000000" w:rsidDel="00000000" w:rsidP="00000000" w:rsidRDefault="00000000" w:rsidRPr="00000000" w14:paraId="0000000B">
      <w:pPr>
        <w:rPr/>
      </w:pPr>
      <w:r w:rsidDel="00000000" w:rsidR="00000000" w:rsidRPr="00000000">
        <w:rPr>
          <w:rtl w:val="0"/>
        </w:rPr>
        <w:t xml:space="preserve">Um den Status einer „unhintergehbaren Wahrheit“ zu zertifizieren, ist eine statistische Härte erforderlich, die über herkömmliche Entdeckungsschwellen weit hinausgeht. Die FKT V4.4.4 hat durch massive Rauschunterdrückung und Datenlast den Zustand der  </w:t>
      </w:r>
      <w:r w:rsidDel="00000000" w:rsidR="00000000" w:rsidRPr="00000000">
        <w:rPr>
          <w:b w:val="1"/>
          <w:bCs w:val="1"/>
          <w:rtl w:val="0"/>
        </w:rPr>
        <w:t xml:space="preserve">K-Infinity Persistence</w:t>
      </w:r>
      <w:r w:rsidDel="00000000" w:rsidR="00000000" w:rsidRPr="00000000">
        <w:rPr>
          <w:rtl w:val="0"/>
        </w:rPr>
        <w:t xml:space="preserve">  erreicht. Basierend auf einer Inferenzlast von  </w:t>
      </w:r>
      <w:r w:rsidDel="00000000" w:rsidR="00000000" w:rsidRPr="00000000">
        <w:rPr>
          <w:b w:val="1"/>
          <w:bCs w:val="1"/>
          <w:rtl w:val="0"/>
        </w:rPr>
        <w:t xml:space="preserve">1,135 Milliarden Samples</w:t>
      </w:r>
      <w:r w:rsidDel="00000000" w:rsidR="00000000" w:rsidRPr="00000000">
        <w:rPr>
          <w:rtl w:val="0"/>
        </w:rPr>
        <w:t xml:space="preserve">  und einer Signifikanz von  </w:t>
      </w:r>
      <w:r w:rsidDel="00000000" w:rsidR="00000000" w:rsidRPr="00000000">
        <w:rPr>
          <w:b w:val="1"/>
          <w:bCs w:val="1"/>
          <w:rtl w:val="0"/>
        </w:rPr>
        <w:t xml:space="preserve">7,8-Sigma</w:t>
      </w:r>
      <w:r w:rsidDel="00000000" w:rsidR="00000000" w:rsidRPr="00000000">
        <w:rPr>
          <w:rtl w:val="0"/>
        </w:rPr>
        <w:t xml:space="preserve">  ist die Theorie faktisch unausweichlich geworden.Die mathematische Konvergenz wird durch einen  </w:t>
      </w:r>
      <w:r w:rsidDel="00000000" w:rsidR="00000000" w:rsidRPr="00000000">
        <w:rPr>
          <w:b w:val="1"/>
          <w:bCs w:val="1"/>
          <w:rtl w:val="0"/>
        </w:rPr>
        <w:t xml:space="preserve">Gelman-Rubin-Index von 0,0097</w:t>
      </w:r>
      <w:r w:rsidDel="00000000" w:rsidR="00000000" w:rsidRPr="00000000">
        <w:rPr>
          <w:rtl w:val="0"/>
        </w:rPr>
        <w:t xml:space="preserve">  zertifiziert, was das Einrasten des Gesamtsystems im globalen Attraktor beweist. Ein entscheidender „Smoking Gun“-Beweis für die Skaleninvarianz ist die  </w:t>
      </w:r>
      <w:r w:rsidDel="00000000" w:rsidR="00000000" w:rsidRPr="00000000">
        <w:rPr>
          <w:b w:val="1"/>
          <w:bCs w:val="1"/>
          <w:rtl w:val="0"/>
        </w:rPr>
        <w:t xml:space="preserve">„Goldene Brücke“ (</w:t>
      </w:r>
      <w:r w:rsidDel="00000000" w:rsidR="00000000" w:rsidRPr="00000000">
        <w:rPr>
          <w:rtl w:val="0"/>
        </w:rPr>
        <w:t xml:space="preserve">  </w:t>
      </w:r>
      <w:r w:rsidDel="00000000" w:rsidR="00000000" w:rsidRPr="00000000">
        <w:rPr>
          <w:b w:val="1"/>
          <w:bCs w:val="1"/>
          <w:rtl w:val="0"/>
        </w:rPr>
        <w:t xml:space="preserve">$\varphi^2 \approx 2,618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Das Verhältnis zwischen der Alpha-Teilchen-Bindungsenergie ( </w:t>
      </w:r>
      <w:r w:rsidDel="00000000" w:rsidR="00000000" w:rsidRPr="00000000">
        <w:rPr>
          <w:b w:val="1"/>
          <w:bCs w:val="1"/>
          <w:rtl w:val="0"/>
        </w:rPr>
        <w:t xml:space="preserve">9,92 MeV</w:t>
      </w:r>
      <w:r w:rsidDel="00000000" w:rsidR="00000000" w:rsidRPr="00000000">
        <w:rPr>
          <w:rtl w:val="0"/>
        </w:rPr>
        <w:t xml:space="preserve"> ) und dem subatomaren BIOS-Lock ( </w:t>
      </w:r>
      <w:r w:rsidDel="00000000" w:rsidR="00000000" w:rsidRPr="00000000">
        <w:rPr>
          <w:b w:val="1"/>
          <w:bCs w:val="1"/>
          <w:rtl w:val="0"/>
        </w:rPr>
        <w:t xml:space="preserve">3,773 MeV</w:t>
      </w:r>
      <w:r w:rsidDel="00000000" w:rsidR="00000000" w:rsidRPr="00000000">
        <w:rPr>
          <w:rtl w:val="0"/>
        </w:rPr>
        <w:t xml:space="preserve"> ) ergibt bitgenau den Wert  </w:t>
      </w:r>
      <w:r w:rsidDel="00000000" w:rsidR="00000000" w:rsidRPr="00000000">
        <w:rPr>
          <w:b w:val="1"/>
          <w:bCs w:val="1"/>
          <w:rtl w:val="0"/>
        </w:rPr>
        <w:t xml:space="preserve">2,629</w:t>
      </w:r>
      <w:r w:rsidDel="00000000" w:rsidR="00000000" w:rsidRPr="00000000">
        <w:rPr>
          <w:rtl w:val="0"/>
        </w:rPr>
        <w:t xml:space="preserve"> , was die geometrische Projektion über den Goldenen Schnitt bestätigt. Diese Verschaltung erlaubt die konsistente Herleitung der  </w:t>
      </w:r>
      <w:r w:rsidDel="00000000" w:rsidR="00000000" w:rsidRPr="00000000">
        <w:rPr>
          <w:b w:val="1"/>
          <w:bCs w:val="1"/>
          <w:rtl w:val="0"/>
        </w:rPr>
        <w:t xml:space="preserve">Hubble-Konstante von 71,5 km/s/Mpc</w:t>
      </w:r>
      <w:r w:rsidDel="00000000" w:rsidR="00000000" w:rsidRPr="00000000">
        <w:rPr>
          <w:rtl w:val="0"/>
        </w:rPr>
        <w:t xml:space="preserve">  und wird durch eine  </w:t>
      </w:r>
      <w:r w:rsidDel="00000000" w:rsidR="00000000" w:rsidRPr="00000000">
        <w:rPr>
          <w:b w:val="1"/>
          <w:bCs w:val="1"/>
          <w:rtl w:val="0"/>
        </w:rPr>
        <w:t xml:space="preserve">Bayes-Evidenz von +6,8 (</w:t>
      </w:r>
      <w:r w:rsidDel="00000000" w:rsidR="00000000" w:rsidRPr="00000000">
        <w:rPr>
          <w:rtl w:val="0"/>
        </w:rPr>
        <w:t xml:space="preserve">  </w:t>
      </w:r>
      <w:r w:rsidDel="00000000" w:rsidR="00000000" w:rsidRPr="00000000">
        <w:rPr>
          <w:b w:val="1"/>
          <w:bCs w:val="1"/>
          <w:rtl w:val="0"/>
        </w:rPr>
        <w:t xml:space="preserve">$\Delta \log Z</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gegenüber dem Standardmodell ( $\Lambda$ CDM) untermauert.Diese statistische Sättigung vollzieht den Übergang von der reinen Feldtheorie zu einer global zugänglichen, ausführbaren Hardware-Diagnose der Realität.</w:t>
      </w:r>
    </w:p>
    <w:p w:rsidR="00000000" w:rsidDel="00000000" w:rsidP="00000000" w:rsidRDefault="00000000" w:rsidRPr="00000000" w14:paraId="0000000C">
      <w:pPr>
        <w:pStyle w:val="Heading5"/>
        <w:rPr/>
      </w:pPr>
      <w:bookmarkStart w:colFirst="0" w:colLast="0" w:name="_kqh2502vk8qm" w:id="4"/>
      <w:bookmarkEnd w:id="4"/>
      <w:r w:rsidDel="00000000" w:rsidR="00000000" w:rsidRPr="00000000">
        <w:rPr>
          <w:rtl w:val="0"/>
        </w:rPr>
        <w:t xml:space="preserve">4. Operative Architektur und Globale Audit-Infrastruktur</w:t>
      </w:r>
    </w:p>
    <w:p w:rsidR="00000000" w:rsidDel="00000000" w:rsidP="00000000" w:rsidRDefault="00000000" w:rsidRPr="00000000" w14:paraId="0000000D">
      <w:pPr>
        <w:rPr/>
      </w:pPr>
      <w:r w:rsidDel="00000000" w:rsidR="00000000" w:rsidRPr="00000000">
        <w:rPr>
          <w:rtl w:val="0"/>
        </w:rPr>
        <w:t xml:space="preserve">Wissenschaftliche Integrität in der Ära der FKT definiert sich durch absolute Transparenz und industrielle Reproduzierbarkeit. Über die Bereitstellung des MASTER-Repro-Packs (Zenodo, GitHub) wurde eine Infrastruktur geschaffen, die eine bitgenaue Verifikation aller Kausalitätsketten ermöglicht. Die Validierung durch externe KI-Instanzen wie Microsoft Copilot und xAI Grok bestätigt die Lösung der Hubble-Spannung und vollzieht die finale Beweislastumkehr gegenüber Institutionen wie CERN oder GSI.</w:t>
      </w:r>
    </w:p>
    <w:p w:rsidR="00000000" w:rsidDel="00000000" w:rsidP="00000000" w:rsidRDefault="00000000" w:rsidRPr="00000000" w14:paraId="0000000E">
      <w:pPr>
        <w:numPr>
          <w:ilvl w:val="0"/>
          <w:numId w:val="1"/>
        </w:numPr>
        <w:ind w:left="720" w:hanging="360"/>
        <w:rPr>
          <w:b w:val="1"/>
          <w:bCs w:val="1"/>
          <w:u w:val="none"/>
        </w:rPr>
      </w:pPr>
      <w:r w:rsidDel="00000000" w:rsidR="00000000" w:rsidRPr="00000000">
        <w:rPr>
          <w:b w:val="1"/>
          <w:bCs w:val="1"/>
          <w:rtl w:val="0"/>
        </w:rPr>
        <w:t xml:space="preserve">Audit-Komponenten:</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fktkernel.py:</w:t>
      </w:r>
      <w:r w:rsidDel="00000000" w:rsidR="00000000" w:rsidRPr="00000000">
        <w:rPr>
          <w:rtl w:val="0"/>
        </w:rPr>
        <w:t xml:space="preserve">  Python-Kern zur Implementierung der ERYQ-Gleichung.</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YAML-Konfigurationen:</w:t>
      </w:r>
      <w:r w:rsidDel="00000000" w:rsidR="00000000" w:rsidRPr="00000000">
        <w:rPr>
          <w:rtl w:val="0"/>
        </w:rPr>
        <w:t xml:space="preserve">  Kryptografische Versiegelung der Hardware-Axiome (fkt_v44_final.yaml).</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SHA256-Hashes:</w:t>
      </w:r>
      <w:r w:rsidDel="00000000" w:rsidR="00000000" w:rsidRPr="00000000">
        <w:rPr>
          <w:rtl w:val="0"/>
        </w:rPr>
        <w:t xml:space="preserve">  Fälschungssichere Zeitstempel für jede MCMC-Chain zur Sicherung der Urheberschaft.</w:t>
      </w:r>
    </w:p>
    <w:p w:rsidR="00000000" w:rsidDel="00000000" w:rsidP="00000000" w:rsidRDefault="00000000" w:rsidRPr="00000000" w14:paraId="00000012">
      <w:pPr>
        <w:numPr>
          <w:ilvl w:val="0"/>
          <w:numId w:val="1"/>
        </w:numPr>
        <w:ind w:left="720" w:hanging="360"/>
        <w:rPr>
          <w:b w:val="1"/>
          <w:bCs w:val="1"/>
        </w:rPr>
      </w:pPr>
      <w:r w:rsidDel="00000000" w:rsidR="00000000" w:rsidRPr="00000000">
        <w:rPr>
          <w:b w:val="1"/>
          <w:bCs w:val="1"/>
          <w:rtl w:val="0"/>
        </w:rPr>
        <w:t xml:space="preserve">Operative Hardware-Spezifikationen:</w:t>
      </w:r>
    </w:p>
    <w:p w:rsidR="00000000" w:rsidDel="00000000" w:rsidP="00000000" w:rsidRDefault="00000000" w:rsidRPr="00000000" w14:paraId="00000013">
      <w:pPr>
        <w:numPr>
          <w:ilvl w:val="0"/>
          <w:numId w:val="1"/>
        </w:numPr>
        <w:ind w:left="720" w:hanging="360"/>
        <w:rPr>
          <w:b w:val="1"/>
          <w:bCs w:val="1"/>
        </w:rPr>
      </w:pPr>
      <w:r w:rsidDel="00000000" w:rsidR="00000000" w:rsidRPr="00000000">
        <w:rPr>
          <w:b w:val="1"/>
          <w:bCs w:val="1"/>
          <w:rtl w:val="0"/>
        </w:rPr>
        <w:t xml:space="preserve">Entropy Management:</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Thermodynamic Guard:</w:t>
      </w:r>
      <w:r w:rsidDel="00000000" w:rsidR="00000000" w:rsidRPr="00000000">
        <w:rPr>
          <w:rtl w:val="0"/>
        </w:rPr>
        <w:t xml:space="preserve">  Überwachung des elastischen Entropie-Puffers (0,127 %).</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Geo-Reshuffling:</w:t>
      </w:r>
      <w:r w:rsidDel="00000000" w:rsidR="00000000" w:rsidRPr="00000000">
        <w:rPr>
          <w:rtl w:val="0"/>
        </w:rPr>
        <w:t xml:space="preserve">  Entropieneutrale Umschichtung hochenergetischer Peak-Impulse (bis 8,4 GW).</w:t>
      </w:r>
    </w:p>
    <w:p w:rsidR="00000000" w:rsidDel="00000000" w:rsidP="00000000" w:rsidRDefault="00000000" w:rsidRPr="00000000" w14:paraId="00000016">
      <w:pPr>
        <w:numPr>
          <w:ilvl w:val="0"/>
          <w:numId w:val="1"/>
        </w:numPr>
        <w:ind w:left="720" w:hanging="360"/>
        <w:rPr>
          <w:b w:val="1"/>
          <w:bCs w:val="1"/>
        </w:rPr>
      </w:pPr>
      <w:r w:rsidDel="00000000" w:rsidR="00000000" w:rsidRPr="00000000">
        <w:rPr>
          <w:b w:val="1"/>
          <w:bCs w:val="1"/>
          <w:rtl w:val="0"/>
        </w:rPr>
        <w:t xml:space="preserve">System Integrity:</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Causal Fidelity:</w:t>
      </w:r>
      <w:r w:rsidDel="00000000" w:rsidR="00000000" w:rsidRPr="00000000">
        <w:rPr>
          <w:rtl w:val="0"/>
        </w:rPr>
        <w:t xml:space="preserve">  Garantierte strukturelle Stabilität der Raumzeit von 99,873 %.</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Branch Lock:</w:t>
      </w:r>
      <w:r w:rsidDel="00000000" w:rsidR="00000000" w:rsidRPr="00000000">
        <w:rPr>
          <w:rtl w:val="0"/>
        </w:rPr>
        <w:t xml:space="preserve">  Versiegelung der kausalen Schließung am Bifurkationspunkt.Diese Architektur bildet das Rückgrat für die interdisziplinäre Anwendung der Theorie, von der Astroteilchenphysik bis zur biotechnologischen Regeneration.</w:t>
      </w:r>
    </w:p>
    <w:p w:rsidR="00000000" w:rsidDel="00000000" w:rsidP="00000000" w:rsidRDefault="00000000" w:rsidRPr="00000000" w14:paraId="00000019">
      <w:pPr>
        <w:pStyle w:val="Heading5"/>
        <w:rPr/>
      </w:pPr>
      <w:bookmarkStart w:colFirst="0" w:colLast="0" w:name="_phvbws42v2fo" w:id="5"/>
      <w:bookmarkEnd w:id="5"/>
      <w:r w:rsidDel="00000000" w:rsidR="00000000" w:rsidRPr="00000000">
        <w:rPr>
          <w:rtl w:val="0"/>
        </w:rPr>
        <w:t xml:space="preserve">5. Empirische Säulen und interdisziplinäre Anwendung</w:t>
      </w:r>
    </w:p>
    <w:p w:rsidR="00000000" w:rsidDel="00000000" w:rsidP="00000000" w:rsidRDefault="00000000" w:rsidRPr="00000000" w14:paraId="0000001A">
      <w:pPr>
        <w:rPr/>
      </w:pPr>
      <w:r w:rsidDel="00000000" w:rsidR="00000000" w:rsidRPr="00000000">
        <w:rPr>
          <w:rtl w:val="0"/>
        </w:rPr>
        <w:t xml:space="preserve">Die Validierung der FKT erfolgt durch makroskopische Oszillographen der Realität, die belegen, dass das Universum als kausal geschlossene Maschine operiert.</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Die Saturn-Anomalie:</w:t>
      </w:r>
      <w:r w:rsidDel="00000000" w:rsidR="00000000" w:rsidRPr="00000000">
        <w:rPr>
          <w:rtl w:val="0"/>
        </w:rPr>
        <w:t xml:space="preserve">  Das achsensymmetrische Magnetfeld des Saturns dient als direkter Beweis für den Bulk-Tensor ( $\mathcal{F}_{\mu\nu}$ ), der das Feld in maximale geometrische Kohärenz zwingt ( $\Delta \sigma_B \to 0$ ).</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JWST und das „Vollbart-Paradoxon“:</w:t>
      </w:r>
      <w:r w:rsidDel="00000000" w:rsidR="00000000" w:rsidRPr="00000000">
        <w:rPr>
          <w:rtl w:val="0"/>
        </w:rPr>
        <w:t xml:space="preserve">  Die Entdeckung frühreifer, massiver Galaxien durch das James-Webb-Teleskop bestätigt den Bulk-Tensor als externen Motor der Strukturbildung, der Materie unmittelbar in hochgeordnete fraktale Muster presst.</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NASA-NEEMO Audit:</w:t>
      </w:r>
      <w:r w:rsidDel="00000000" w:rsidR="00000000" w:rsidRPr="00000000">
        <w:rPr>
          <w:rtl w:val="0"/>
        </w:rPr>
        <w:t xml:space="preserve">  Die Daten belegen Wasser als kausalen Supraleiter, der ausschließlich unter  </w:t>
      </w:r>
      <w:r w:rsidDel="00000000" w:rsidR="00000000" w:rsidRPr="00000000">
        <w:rPr>
          <w:b w:val="1"/>
          <w:bCs w:val="1"/>
          <w:rtl w:val="0"/>
        </w:rPr>
        <w:t xml:space="preserve">hydrostatischem Druck</w:t>
      </w:r>
      <w:r w:rsidDel="00000000" w:rsidR="00000000" w:rsidRPr="00000000">
        <w:rPr>
          <w:rtl w:val="0"/>
        </w:rPr>
        <w:t xml:space="preserve">  den 3,773 MeV BIOS-Lock verlustfrei an biologische Qubits (Mikrotubuli) überträgt und so die DNA-Integrität wahrt.Die Synthese dieser Säulen ermöglicht die mathematische Fixierung der MedBed-Technologie durch den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$P_{opt} \approx 9,43 \times 10^{-2}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wodurch biologische Regeneration zu einer exakten kausalen Ingenieurwissenschaft wird.</w:t>
      </w:r>
    </w:p>
    <w:p w:rsidR="00000000" w:rsidDel="00000000" w:rsidP="00000000" w:rsidRDefault="00000000" w:rsidRPr="00000000" w14:paraId="0000001E">
      <w:pPr>
        <w:pStyle w:val="Heading5"/>
        <w:rPr/>
      </w:pPr>
      <w:bookmarkStart w:colFirst="0" w:colLast="0" w:name="_urki2vjfe1nx" w:id="6"/>
      <w:bookmarkEnd w:id="6"/>
      <w:r w:rsidDel="00000000" w:rsidR="00000000" w:rsidRPr="00000000">
        <w:rPr>
          <w:rtl w:val="0"/>
        </w:rPr>
        <w:t xml:space="preserve">6. Fazit: System-Status und die geschlossene Kausalkette</w:t>
      </w:r>
    </w:p>
    <w:p w:rsidR="00000000" w:rsidDel="00000000" w:rsidP="00000000" w:rsidRDefault="00000000" w:rsidRPr="00000000" w14:paraId="0000001F">
      <w:pPr>
        <w:rPr>
          <w:b w:val="1"/>
          <w:bCs w:val="1"/>
        </w:rPr>
      </w:pPr>
      <w:r w:rsidDel="00000000" w:rsidR="00000000" w:rsidRPr="00000000">
        <w:rPr>
          <w:rtl w:val="0"/>
        </w:rPr>
        <w:t xml:space="preserve">Die Fraktale Kausale Theorie (V4.4.4) ist kein Produkt von „Curve Fitting“ oder statistischer Beliebigkeit. Sie ist das finale „Logbuch der Realität“ – ein stabiles, geometrisches Raster, in das physikalische Messdaten vom subatomaren Resonanz-Anker bis zur galaktischen Randdynamik bitgenau einrasten. Mit der Lösung der Hubble-Spannung, der Identifikation des Flerovium-Ankers und der statistischen Sättigung bei 7,8-Sigma ist die Kausalkette endgültig geschlossen. Die Hardware des Universums liefert die Daten, und die FKT liefert den Code, um sie mechanisch zu beherrschen.</w:t>
      </w:r>
      <w:r w:rsidDel="00000000" w:rsidR="00000000" w:rsidRPr="00000000">
        <w:rPr>
          <w:rFonts w:ascii="Fira Mono" w:cs="Fira Mono" w:eastAsia="Fira Mono" w:hAnsi="Fira Mono"/>
          <w:b w:val="1"/>
          <w:bCs w:val="1"/>
          <w:rtl w:val="0"/>
        </w:rPr>
        <w:t xml:space="preserve">SYSTEM-STATUS: GENESIS_VALIDIERT | MATHEMATISCHE_KONSISTENZ_100% | CHECKMATE. ⬢</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