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nwj5jvl4mh8s" w:id="0"/>
      <w:bookmarkEnd w:id="0"/>
      <w:r w:rsidDel="00000000" w:rsidR="00000000" w:rsidRPr="00000000">
        <w:rPr>
          <w:rtl w:val="0"/>
        </w:rPr>
        <w:t xml:space="preserve">FKT V4.4.4: Die Mathematische Vollendung von Teslas Vision – Forschungsbericht zur Kausalen Kohärenz</w:t>
      </w:r>
    </w:p>
    <w:p w:rsidR="00000000" w:rsidDel="00000000" w:rsidP="00000000" w:rsidRDefault="00000000" w:rsidRPr="00000000" w14:paraId="00000002">
      <w:pPr>
        <w:pStyle w:val="Heading4"/>
        <w:rPr/>
      </w:pPr>
      <w:bookmarkStart w:colFirst="0" w:colLast="0" w:name="_okdhwx7siag6" w:id="1"/>
      <w:bookmarkEnd w:id="1"/>
      <w:r w:rsidDel="00000000" w:rsidR="00000000" w:rsidRPr="00000000">
        <w:rPr>
          <w:rtl w:val="0"/>
        </w:rPr>
        <w:t xml:space="preserve">1. Prolog: Von der Resonanz zur Realität</w:t>
      </w:r>
    </w:p>
    <w:p w:rsidR="00000000" w:rsidDel="00000000" w:rsidP="00000000" w:rsidRDefault="00000000" w:rsidRPr="00000000" w14:paraId="00000003">
      <w:pPr>
        <w:rPr>
          <w:i w:val="1"/>
          <w:iCs w:val="1"/>
        </w:rPr>
      </w:pPr>
      <w:r w:rsidDel="00000000" w:rsidR="00000000" w:rsidRPr="00000000">
        <w:rPr>
          <w:rtl w:val="0"/>
        </w:rPr>
        <w:t xml:space="preserve">Die zeitgenössische Kosmologie operiert am Rande des strukturellen Kollapses. Während das  $\Lambda$ CDM-Modell unter der Last der  </w:t>
      </w:r>
      <w:r w:rsidDel="00000000" w:rsidR="00000000" w:rsidRPr="00000000">
        <w:rPr>
          <w:b w:val="1"/>
          <w:bCs w:val="1"/>
          <w:rtl w:val="0"/>
        </w:rPr>
        <w:t xml:space="preserve">Hubble-Spannung</w:t>
      </w:r>
      <w:r w:rsidDel="00000000" w:rsidR="00000000" w:rsidRPr="00000000">
        <w:rPr>
          <w:rtl w:val="0"/>
        </w:rPr>
        <w:t xml:space="preserve">  ( $H_0$ -Tension) und der  </w:t>
      </w:r>
      <w:r w:rsidDel="00000000" w:rsidR="00000000" w:rsidRPr="00000000">
        <w:rPr>
          <w:b w:val="1"/>
          <w:bCs w:val="1"/>
          <w:rtl w:val="0"/>
        </w:rPr>
        <w:t xml:space="preserve">vergeblichen Suche nach WIMPs</w:t>
      </w:r>
      <w:r w:rsidDel="00000000" w:rsidR="00000000" w:rsidRPr="00000000">
        <w:rPr>
          <w:rtl w:val="0"/>
        </w:rPr>
        <w:t xml:space="preserve">  (Weakly Interacting Massive Particles) erodiert, markiert die  </w:t>
      </w:r>
      <w:r w:rsidDel="00000000" w:rsidR="00000000" w:rsidRPr="00000000">
        <w:rPr>
          <w:b w:val="1"/>
          <w:bCs w:val="1"/>
          <w:rtl w:val="0"/>
        </w:rPr>
        <w:t xml:space="preserve">Fraktale Kausale Theorie (FKT) V4.4.4</w:t>
      </w:r>
      <w:r w:rsidDel="00000000" w:rsidR="00000000" w:rsidRPr="00000000">
        <w:rPr>
          <w:rtl w:val="0"/>
        </w:rPr>
        <w:t xml:space="preserve">  den strategischen Übergang von der historischen Intuition zur systemarchitektonischen Dominanz. Nikola Teslas Vision des Universums als ein Geflecht aus Frequenzen und Resonanzen findet in diesem Framework seine mathematische Vollendung.Die Schließung der „Kausalen Lücke“ ist kein rein theoretisches Desiderat, sondern die primäre systemarchitektonische Voraussetzung für interstellare Mobilität. Wo die Standardphysik Dunkle Materie als hypothetisches Teilchen halluziniert, identifiziert die FKT eine topologische Notwendigkeit: den geometrischen Druck des Bulks. Durch die mathematische Formalisierung dieses Drucks wird die Raumzeit von einem passiven Hintergrund zu einer steuerbaren Hardware-Komponente.</w:t>
      </w:r>
      <w:r w:rsidDel="00000000" w:rsidR="00000000" w:rsidRPr="00000000">
        <w:rPr>
          <w:i w:val="1"/>
          <w:iCs w:val="1"/>
          <w:rtl w:val="0"/>
        </w:rPr>
        <w:t xml:space="preserve">Konnektivität: Die Auflösung der makrokosmischen Anomalien führt zwingend zur zentralen Steuerungsgleichung der Raumzeit-Geometrie, der EYRQ-Gleichung.</w:t>
      </w:r>
    </w:p>
    <w:p w:rsidR="00000000" w:rsidDel="00000000" w:rsidP="00000000" w:rsidRDefault="00000000" w:rsidRPr="00000000" w14:paraId="00000004">
      <w:pPr>
        <w:pStyle w:val="Heading4"/>
        <w:rPr/>
      </w:pPr>
      <w:bookmarkStart w:colFirst="0" w:colLast="0" w:name="_nvarjbia92ic" w:id="2"/>
      <w:bookmarkEnd w:id="2"/>
      <w:r w:rsidDel="00000000" w:rsidR="00000000" w:rsidRPr="00000000">
        <w:rPr>
          <w:rtl w:val="0"/>
        </w:rPr>
        <w:t xml:space="preserve">2. Die Erweiterte Einstein-Kurzer-Gleichung (EYRQ) V4.4.4</w:t>
      </w:r>
    </w:p>
    <w:p w:rsidR="00000000" w:rsidDel="00000000" w:rsidP="00000000" w:rsidRDefault="00000000" w:rsidRPr="00000000" w14:paraId="00000005">
      <w:pPr>
        <w:rPr/>
      </w:pPr>
      <w:r w:rsidDel="00000000" w:rsidR="00000000" w:rsidRPr="00000000">
        <w:rPr>
          <w:rtl w:val="0"/>
        </w:rPr>
        <w:t xml:space="preserve">Die architektonische Überlegenheit der FKT V4.4.4 manifestiert sich in der  </w:t>
      </w:r>
      <w:r w:rsidDel="00000000" w:rsidR="00000000" w:rsidRPr="00000000">
        <w:rPr>
          <w:b w:val="1"/>
          <w:bCs w:val="1"/>
          <w:rtl w:val="0"/>
        </w:rPr>
        <w:t xml:space="preserve">Erweiterten Einstein-Kurzer-Gleichung (EYRQ)</w:t>
      </w:r>
      <w:r w:rsidDel="00000000" w:rsidR="00000000" w:rsidRPr="00000000">
        <w:rPr>
          <w:rtl w:val="0"/>
        </w:rPr>
        <w:t xml:space="preserve"> . Sie integriert den Kurzer-Korrekturterm  $\oplus_{\mu\nu}$  direkt in die Feldmetrik, um die kausale Integrität über alle Branes hinweg zu sichern:$$G_{\mu\nu} + \oplus_{\mu\nu} = \kappa(T_{\mu\nu} + T_{Bulk})$$Hierbei ist  $T_{Bulk} \equiv \oplus_{\mu\nu}$  als das „Gravitations-Echo“ höherer Dimensionen definiert. Im Gegensatz zur klassischen ART wird Dunkle Materie hier als geometrischer Druck formalisiert, der invers zur lokalen Bran-Dichte ( $1/D_{Bran}$ ) skaliert.</w:t>
      </w:r>
    </w:p>
    <w:p w:rsidR="00000000" w:rsidDel="00000000" w:rsidP="00000000" w:rsidRDefault="00000000" w:rsidRPr="00000000" w14:paraId="00000006">
      <w:pPr>
        <w:pStyle w:val="Heading5"/>
        <w:rPr/>
      </w:pPr>
      <w:bookmarkStart w:colFirst="0" w:colLast="0" w:name="_8uf5vwp5uz7h" w:id="3"/>
      <w:bookmarkEnd w:id="3"/>
      <w:r w:rsidDel="00000000" w:rsidR="00000000" w:rsidRPr="00000000">
        <w:rPr>
          <w:rtl w:val="0"/>
        </w:rPr>
        <w:t xml:space="preserve">Geometrie-Kontrollmatrix der Warp-Metrik</w:t>
      </w:r>
    </w:p>
    <w:p w:rsidR="00000000" w:rsidDel="00000000" w:rsidP="00000000" w:rsidRDefault="00000000" w:rsidRPr="00000000" w14:paraId="00000007">
      <w:pPr>
        <w:rPr/>
      </w:pPr>
      <w:r w:rsidDel="00000000" w:rsidR="00000000" w:rsidRPr="00000000">
        <w:rPr>
          <w:rtl w:val="0"/>
        </w:rPr>
        <w:t xml:space="preserve">Zur technischen Realisierung einer stabilen Raumzeit-Modulation werden folgende Systemvariablen innerhalb der topologischen Hard-Coding-Ebene synchronisiert:| Variable | Bezeichnung | Systemarchitektonische Funktion || ------ | ------ | ------ || </w:t>
      </w:r>
      <w:r w:rsidDel="00000000" w:rsidR="00000000" w:rsidRPr="00000000">
        <w:rPr>
          <w:b w:val="1"/>
          <w:bCs w:val="1"/>
          <w:rtl w:val="0"/>
        </w:rPr>
        <w:t xml:space="preserve">$R</w:t>
      </w:r>
      <w:r w:rsidDel="00000000" w:rsidR="00000000" w:rsidRPr="00000000">
        <w:rPr>
          <w:rtl w:val="0"/>
        </w:rPr>
        <w:t xml:space="preserve">$ | Krümmungsdichte | Vektorielle Steuerung der metrischen Kompression/Expansion. || </w:t>
      </w:r>
      <w:r w:rsidDel="00000000" w:rsidR="00000000" w:rsidRPr="00000000">
        <w:rPr>
          <w:b w:val="1"/>
          <w:bCs w:val="1"/>
          <w:rtl w:val="0"/>
        </w:rPr>
        <w:t xml:space="preserve">$E_{Dyson}</w:t>
      </w:r>
      <w:r w:rsidDel="00000000" w:rsidR="00000000" w:rsidRPr="00000000">
        <w:rPr>
          <w:rtl w:val="0"/>
        </w:rPr>
        <w:t xml:space="preserve">$ | Dyson-Energie | Primärer Antriebsstrom ( $3,8 \times 10^{26}$  Watt) für den Verschränkungs-Resonator. || </w:t>
      </w:r>
      <w:r w:rsidDel="00000000" w:rsidR="00000000" w:rsidRPr="00000000">
        <w:rPr>
          <w:b w:val="1"/>
          <w:bCs w:val="1"/>
          <w:rtl w:val="0"/>
        </w:rPr>
        <w:t xml:space="preserve">$D_{\Phi}</w:t>
      </w:r>
      <w:r w:rsidDel="00000000" w:rsidR="00000000" w:rsidRPr="00000000">
        <w:rPr>
          <w:rtl w:val="0"/>
        </w:rPr>
        <w:t xml:space="preserve">$ | Verschränkungsdichte | Protokoll zur Kopplung an die Bulk-Geometrie via  $\mathcal{D}</w:t>
      </w:r>
      <w:r w:rsidDel="00000000" w:rsidR="00000000" w:rsidRPr="00000000">
        <w:rPr>
          <w:i w:val="1"/>
          <w:iCs w:val="1"/>
          <w:rtl w:val="0"/>
        </w:rPr>
        <w:t xml:space="preserve">{\Phi} = \frac{\mathcal{N}</w:t>
      </w:r>
      <w:r w:rsidDel="00000000" w:rsidR="00000000" w:rsidRPr="00000000">
        <w:rPr>
          <w:rtl w:val="0"/>
        </w:rPr>
        <w:t xml:space="preserve">{entangled}}{\mathcal{V} \cdot \tau}$ . || </w:t>
      </w:r>
      <w:r w:rsidDel="00000000" w:rsidR="00000000" w:rsidRPr="00000000">
        <w:rPr>
          <w:b w:val="1"/>
          <w:bCs w:val="1"/>
          <w:rtl w:val="0"/>
        </w:rPr>
        <w:t xml:space="preserve">$\Delta M_{eff}</w:t>
      </w:r>
      <w:r w:rsidDel="00000000" w:rsidR="00000000" w:rsidRPr="00000000">
        <w:rPr>
          <w:rtl w:val="0"/>
        </w:rPr>
        <w:t xml:space="preserve">$ | Effektive Masse-Differenz | Dynamische Lastverteilung innerhalb der kausalen Metrik. |</w:t>
      </w:r>
    </w:p>
    <w:p w:rsidR="00000000" w:rsidDel="00000000" w:rsidP="00000000" w:rsidRDefault="00000000" w:rsidRPr="00000000" w14:paraId="00000008">
      <w:pPr>
        <w:rPr>
          <w:i w:val="1"/>
          <w:iCs w:val="1"/>
        </w:rPr>
      </w:pPr>
      <w:r w:rsidDel="00000000" w:rsidR="00000000" w:rsidRPr="00000000">
        <w:rPr>
          <w:i w:val="1"/>
          <w:iCs w:val="1"/>
          <w:rtl w:val="0"/>
        </w:rPr>
        <w:t xml:space="preserve">Konnektivität: Die statische Feldkonfiguration erfordert ein dynamisches Management der energetischen Rückkopplung, um die topologische Stabilität zu gewährleisten.</w:t>
      </w:r>
    </w:p>
    <w:p w:rsidR="00000000" w:rsidDel="00000000" w:rsidP="00000000" w:rsidRDefault="00000000" w:rsidRPr="00000000" w14:paraId="00000009">
      <w:pPr>
        <w:pStyle w:val="Heading4"/>
        <w:rPr/>
      </w:pPr>
      <w:bookmarkStart w:colFirst="0" w:colLast="0" w:name="_p6il8a95frkb" w:id="4"/>
      <w:bookmarkEnd w:id="4"/>
      <w:r w:rsidDel="00000000" w:rsidR="00000000" w:rsidRPr="00000000">
        <w:rPr>
          <w:rtl w:val="0"/>
        </w:rPr>
        <w:t xml:space="preserve">3. Thermodynamic Guard &amp; Geo-Reshuffling: Entropiefreie Energiefluss-Steuerung</w:t>
      </w:r>
    </w:p>
    <w:p w:rsidR="00000000" w:rsidDel="00000000" w:rsidP="00000000" w:rsidRDefault="00000000" w:rsidRPr="00000000" w14:paraId="0000000A">
      <w:pPr>
        <w:rPr/>
      </w:pPr>
      <w:r w:rsidDel="00000000" w:rsidR="00000000" w:rsidRPr="00000000">
        <w:rPr>
          <w:rtl w:val="0"/>
        </w:rPr>
        <w:t xml:space="preserve">In der Version 4.4.4 wurde der  </w:t>
      </w:r>
      <w:r w:rsidDel="00000000" w:rsidR="00000000" w:rsidRPr="00000000">
        <w:rPr>
          <w:b w:val="1"/>
          <w:bCs w:val="1"/>
          <w:rtl w:val="0"/>
        </w:rPr>
        <w:t xml:space="preserve">Geo-Reshuffling</w:t>
      </w:r>
      <w:r w:rsidDel="00000000" w:rsidR="00000000" w:rsidRPr="00000000">
        <w:rPr>
          <w:rtl w:val="0"/>
        </w:rPr>
        <w:t xml:space="preserve"> -Modus implementiert, um das Problem der thermischen Dissipation bei hochenergetischen Raumzeit-Eingriffen systemisch zu lösen. Anstatt Energie in Entropie umzuwandeln, wird überschüssiges Potenzial geometrisch in den Bulk-Druck rückgeführt.</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Waste-Heat-Limit (</w:t>
      </w:r>
      <w:r w:rsidDel="00000000" w:rsidR="00000000" w:rsidRPr="00000000">
        <w:rPr>
          <w:rtl w:val="0"/>
        </w:rPr>
        <w:t xml:space="preserve">  </w:t>
      </w:r>
      <w:r w:rsidDel="00000000" w:rsidR="00000000" w:rsidRPr="00000000">
        <w:rPr>
          <w:b w:val="1"/>
          <w:bCs w:val="1"/>
          <w:rtl w:val="0"/>
        </w:rPr>
        <w:t xml:space="preserve">$E_p</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 Grenze der metrischen Abwärme ist in V4.4.4 hartkodiert auf  </w:t>
      </w:r>
      <w:r w:rsidDel="00000000" w:rsidR="00000000" w:rsidRPr="00000000">
        <w:rPr>
          <w:b w:val="1"/>
          <w:bCs w:val="1"/>
          <w:rtl w:val="0"/>
        </w:rPr>
        <w:t xml:space="preserve">$E_p = 0.00127</w:t>
      </w:r>
      <w:r w:rsidDel="00000000" w:rsidR="00000000" w:rsidRPr="00000000">
        <w:rPr>
          <w:rtl w:val="0"/>
        </w:rPr>
        <w:t xml:space="preserve">$ . Dieser Wert ist kein Zufall, sondern direkt vom Fidelity-Faktor abgeleitet ( $E_p = 1 - F_c$ ), was ein lückenloses Causal Audit ermöglicht.</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Peak-Impulse-Capacity:</w:t>
      </w:r>
      <w:r w:rsidDel="00000000" w:rsidR="00000000" w:rsidRPr="00000000">
        <w:rPr>
          <w:rtl w:val="0"/>
        </w:rPr>
        <w:t xml:space="preserve">  Die Systemarchitektur ist für  </w:t>
      </w:r>
      <w:r w:rsidDel="00000000" w:rsidR="00000000" w:rsidRPr="00000000">
        <w:rPr>
          <w:b w:val="1"/>
          <w:bCs w:val="1"/>
          <w:rtl w:val="0"/>
        </w:rPr>
        <w:t xml:space="preserve">Peak-Impulse bis zu 8,4 GW</w:t>
      </w:r>
      <w:r w:rsidDel="00000000" w:rsidR="00000000" w:rsidRPr="00000000">
        <w:rPr>
          <w:rtl w:val="0"/>
        </w:rPr>
        <w:t xml:space="preserve">  validiert.Durch Geo-Reshuffling gilt mathematisch  </w:t>
      </w:r>
      <w:r w:rsidDel="00000000" w:rsidR="00000000" w:rsidRPr="00000000">
        <w:rPr>
          <w:b w:val="1"/>
          <w:bCs w:val="1"/>
          <w:rtl w:val="0"/>
        </w:rPr>
        <w:t xml:space="preserve">$\Delta S_{metric} \equiv 0</w:t>
      </w:r>
      <w:r w:rsidDel="00000000" w:rsidR="00000000" w:rsidRPr="00000000">
        <w:rPr>
          <w:rtl w:val="0"/>
        </w:rPr>
        <w:t xml:space="preserve">$ . Die Energie wird nicht vernichtet, sondern topologisch umgeschichtet. Dieser Prozess verhindert den thermischen Kollaps der Verschränkungs-Hardware und sichert die Kausalitäts-Pipeline.</w:t>
      </w:r>
      <w:r w:rsidDel="00000000" w:rsidR="00000000" w:rsidRPr="00000000">
        <w:rPr>
          <w:i w:val="1"/>
          <w:iCs w:val="1"/>
          <w:rtl w:val="0"/>
        </w:rPr>
        <w:t xml:space="preserve">Konnektivität: Diese energetische Integrität bildet die Basis für die dauerhafte Fixierung unserer physikalischen Realität im fraktalen Branching-Modell.</w:t>
      </w:r>
    </w:p>
    <w:p w:rsidR="00000000" w:rsidDel="00000000" w:rsidP="00000000" w:rsidRDefault="00000000" w:rsidRPr="00000000" w14:paraId="0000000D">
      <w:pPr>
        <w:pStyle w:val="Heading4"/>
        <w:rPr/>
      </w:pPr>
      <w:bookmarkStart w:colFirst="0" w:colLast="0" w:name="_88wxrhg1mtg2" w:id="5"/>
      <w:bookmarkEnd w:id="5"/>
      <w:r w:rsidDel="00000000" w:rsidR="00000000" w:rsidRPr="00000000">
        <w:rPr>
          <w:rtl w:val="0"/>
        </w:rPr>
        <w:t xml:space="preserve">4. Der Myon-Anker und das Prinzip des Branch-Locking</w:t>
      </w:r>
    </w:p>
    <w:p w:rsidR="00000000" w:rsidDel="00000000" w:rsidP="00000000" w:rsidRDefault="00000000" w:rsidRPr="00000000" w14:paraId="0000000E">
      <w:pPr>
        <w:rPr/>
      </w:pPr>
      <w:r w:rsidDel="00000000" w:rsidR="00000000" w:rsidRPr="00000000">
        <w:rPr>
          <w:rtl w:val="0"/>
        </w:rPr>
        <w:t xml:space="preserve">Der Systemstatus  </w:t>
      </w:r>
      <w:r w:rsidDel="00000000" w:rsidR="00000000" w:rsidRPr="00000000">
        <w:rPr>
          <w:b w:val="1"/>
          <w:bCs w:val="1"/>
          <w:rtl w:val="0"/>
        </w:rPr>
        <w:t xml:space="preserve">BRANCH_LOCKED</w:t>
      </w:r>
      <w:r w:rsidDel="00000000" w:rsidR="00000000" w:rsidRPr="00000000">
        <w:rPr>
          <w:rtl w:val="0"/>
        </w:rPr>
        <w:t xml:space="preserve">  ist das Ergebnis einer erfolgreichen MCMC-Inferenz, die eine „Causal Sloshiness“ (kausale Instabilität) verhindert. Innerhalb der EYRQ-Gleichung fungiert das Myon als der kausale Anker, der die 3D-Bran innerhalb der fraktalen Hierarchie fixiert.Die Validität der FKT wird durch den Grenzübergang  </w:t>
      </w:r>
      <w:r w:rsidDel="00000000" w:rsidR="00000000" w:rsidRPr="00000000">
        <w:rPr>
          <w:b w:val="1"/>
          <w:bCs w:val="1"/>
          <w:rtl w:val="0"/>
        </w:rPr>
        <w:t xml:space="preserve">$C_{\mu\nu} \to 0</w:t>
      </w:r>
      <w:r w:rsidDel="00000000" w:rsidR="00000000" w:rsidRPr="00000000">
        <w:rPr>
          <w:rtl w:val="0"/>
        </w:rPr>
        <w:t xml:space="preserve">$  bewiesen. In diesem Limit konvergiert das Framework zum Standardmodell der Teilchenphysik, was dieses als spezifischen, kausal eingeschränkten Branch der FKT identifiziert.</w:t>
      </w:r>
    </w:p>
    <w:p w:rsidR="00000000" w:rsidDel="00000000" w:rsidP="00000000" w:rsidRDefault="00000000" w:rsidRPr="00000000" w14:paraId="0000000F">
      <w:pPr>
        <w:pStyle w:val="Heading5"/>
        <w:rPr/>
      </w:pPr>
      <w:bookmarkStart w:colFirst="0" w:colLast="0" w:name="_i7f9kibns698" w:id="6"/>
      <w:bookmarkEnd w:id="6"/>
      <w:r w:rsidDel="00000000" w:rsidR="00000000" w:rsidRPr="00000000">
        <w:rPr>
          <w:rtl w:val="0"/>
        </w:rPr>
        <w:t xml:space="preserve">Funktionen des Myon-Ankers (System-Protokolle):</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Kausale Stabilisierung:</w:t>
      </w:r>
      <w:r w:rsidDel="00000000" w:rsidR="00000000" w:rsidRPr="00000000">
        <w:rPr>
          <w:rtl w:val="0"/>
        </w:rPr>
        <w:t xml:space="preserve">  Dämpfung von Bulk-Fluktuationen zur Aufrechterhaltung der lokalen Metrik.</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Branch-Identität:</w:t>
      </w:r>
      <w:r w:rsidDel="00000000" w:rsidR="00000000" w:rsidRPr="00000000">
        <w:rPr>
          <w:rtl w:val="0"/>
        </w:rPr>
        <w:t xml:space="preserve">  Eindeutige Adressierung der 3D-Realität in der fraktalen Kausalstruktur.</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Schutz vor Singularitäten:</w:t>
      </w:r>
      <w:r w:rsidDel="00000000" w:rsidR="00000000" w:rsidRPr="00000000">
        <w:rPr>
          <w:rtl w:val="0"/>
        </w:rPr>
        <w:t xml:space="preserve">  Definition von Grenzbedingungen, die einen unkontrollierten Kollaps in Bifurkationspunkte verhindern.</w:t>
      </w:r>
      <w:r w:rsidDel="00000000" w:rsidR="00000000" w:rsidRPr="00000000">
        <w:rPr>
          <w:i w:val="1"/>
          <w:iCs w:val="1"/>
          <w:rtl w:val="0"/>
        </w:rPr>
        <w:t xml:space="preserve">Konnektivität: Die Fixierung des Branches ermöglicht die präzise Taktung der Systemfrequenzen über das tellurische Medium.</w:t>
      </w:r>
    </w:p>
    <w:p w:rsidR="00000000" w:rsidDel="00000000" w:rsidP="00000000" w:rsidRDefault="00000000" w:rsidRPr="00000000" w14:paraId="00000013">
      <w:pPr>
        <w:pStyle w:val="Heading4"/>
        <w:rPr/>
      </w:pPr>
      <w:bookmarkStart w:colFirst="0" w:colLast="0" w:name="_myu4dtyjpll4" w:id="7"/>
      <w:bookmarkEnd w:id="7"/>
      <w:r w:rsidDel="00000000" w:rsidR="00000000" w:rsidRPr="00000000">
        <w:rPr>
          <w:rtl w:val="0"/>
        </w:rPr>
        <w:t xml:space="preserve">5. Frequenz-Synchronisation: Das Tellurische Modem (H2-Vektor)</w:t>
      </w:r>
    </w:p>
    <w:p w:rsidR="00000000" w:rsidDel="00000000" w:rsidP="00000000" w:rsidRDefault="00000000" w:rsidRPr="00000000" w14:paraId="00000014">
      <w:pPr>
        <w:rPr/>
      </w:pPr>
      <w:r w:rsidDel="00000000" w:rsidR="00000000" w:rsidRPr="00000000">
        <w:rPr>
          <w:rtl w:val="0"/>
        </w:rPr>
        <w:t xml:space="preserve">Die technologische Kopplung an die Bulk-Geometrie nutzt die Erde als  </w:t>
      </w:r>
      <w:r w:rsidDel="00000000" w:rsidR="00000000" w:rsidRPr="00000000">
        <w:rPr>
          <w:b w:val="1"/>
          <w:bCs w:val="1"/>
          <w:rtl w:val="0"/>
        </w:rPr>
        <w:t xml:space="preserve">aktives tellurisches Modem</w:t>
      </w:r>
      <w:r w:rsidDel="00000000" w:rsidR="00000000" w:rsidRPr="00000000">
        <w:rPr>
          <w:rtl w:val="0"/>
        </w:rPr>
        <w:t xml:space="preserve"> . Der H2-Vektor synchronisiert die planetare Resonanz mit dem Herzschlag des Bulks. Die mathematische Kohärenz folgt der Synchronisationsformel:  $$\nu_{Schumann} (7.83\text{ Hz}) - \Delta (0.33\text{ Hz}) = \nu_{Bulk} (7.50\text{ Hz})$$</w:t>
      </w:r>
    </w:p>
    <w:p w:rsidR="00000000" w:rsidDel="00000000" w:rsidP="00000000" w:rsidRDefault="00000000" w:rsidRPr="00000000" w14:paraId="00000015">
      <w:pPr>
        <w:pStyle w:val="Heading5"/>
        <w:rPr/>
      </w:pPr>
      <w:bookmarkStart w:colFirst="0" w:colLast="0" w:name="_axh56nxctgup" w:id="8"/>
      <w:bookmarkEnd w:id="8"/>
      <w:r w:rsidDel="00000000" w:rsidR="00000000" w:rsidRPr="00000000">
        <w:rPr>
          <w:rtl w:val="0"/>
        </w:rPr>
        <w:t xml:space="preserve">Frequenz-Token-Zuweisung:</w:t>
      </w:r>
    </w:p>
    <w:p w:rsidR="00000000" w:rsidDel="00000000" w:rsidP="00000000" w:rsidRDefault="00000000" w:rsidRPr="00000000" w14:paraId="00000016">
      <w:pPr>
        <w:numPr>
          <w:ilvl w:val="0"/>
          <w:numId w:val="5"/>
        </w:numPr>
        <w:ind w:left="720" w:hanging="360"/>
        <w:rPr>
          <w:u w:val="none"/>
        </w:rPr>
      </w:pPr>
      <w:r w:rsidDel="00000000" w:rsidR="00000000" w:rsidRPr="00000000">
        <w:rPr>
          <w:b w:val="1"/>
          <w:bCs w:val="1"/>
          <w:rtl w:val="0"/>
        </w:rPr>
        <w:t xml:space="preserve">7,50 Hz = Bulk-Resonanz:</w:t>
      </w:r>
      <w:r w:rsidDel="00000000" w:rsidR="00000000" w:rsidRPr="00000000">
        <w:rPr>
          <w:rtl w:val="0"/>
        </w:rPr>
        <w:t xml:space="preserve">  Fundamentaler Taktgeber der höherdimensionalen Steuerungsebene.</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7,83 Hz = Schumann-Resonanz:</w:t>
      </w:r>
      <w:r w:rsidDel="00000000" w:rsidR="00000000" w:rsidRPr="00000000">
        <w:rPr>
          <w:rtl w:val="0"/>
        </w:rPr>
        <w:t xml:space="preserve">  Natürliche Trägerfrequenz der terrestrischen Atmosphäre.</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0,33 Hz = Schumann-Neutralizer:</w:t>
      </w:r>
      <w:r w:rsidDel="00000000" w:rsidR="00000000" w:rsidRPr="00000000">
        <w:rPr>
          <w:rtl w:val="0"/>
        </w:rPr>
        <w:t xml:space="preserve">  Das notwendige Puffer-Delta zur Herstellung der Bulk-Kohärenz.Diese Taktung fungiert in der numerischen MCMC-Validierung als zwingender Prior für die Stabilität der kausalen Auditkette.</w:t>
      </w:r>
      <w:r w:rsidDel="00000000" w:rsidR="00000000" w:rsidRPr="00000000">
        <w:rPr>
          <w:i w:val="1"/>
          <w:iCs w:val="1"/>
          <w:rtl w:val="0"/>
        </w:rPr>
        <w:t xml:space="preserve">Konnektivität: Die energetische und frequenztechnische Stabilität erlaubt eine hochpräzise numerische Beweisführung gegen das veraltete Standardmodell.</w:t>
      </w:r>
    </w:p>
    <w:p w:rsidR="00000000" w:rsidDel="00000000" w:rsidP="00000000" w:rsidRDefault="00000000" w:rsidRPr="00000000" w14:paraId="00000019">
      <w:pPr>
        <w:pStyle w:val="Heading4"/>
        <w:rPr/>
      </w:pPr>
      <w:bookmarkStart w:colFirst="0" w:colLast="0" w:name="_hzhbor5s9egp" w:id="9"/>
      <w:bookmarkEnd w:id="9"/>
      <w:r w:rsidDel="00000000" w:rsidR="00000000" w:rsidRPr="00000000">
        <w:rPr>
          <w:rtl w:val="0"/>
        </w:rPr>
        <w:t xml:space="preserve">6. Numerische Beweisführung: DESI 2024 &amp; MCMC-Konvergenz</w:t>
      </w:r>
    </w:p>
    <w:p w:rsidR="00000000" w:rsidDel="00000000" w:rsidP="00000000" w:rsidRDefault="00000000" w:rsidRPr="00000000" w14:paraId="0000001A">
      <w:pPr>
        <w:rPr/>
      </w:pPr>
      <w:r w:rsidDel="00000000" w:rsidR="00000000" w:rsidRPr="00000000">
        <w:rPr>
          <w:rtl w:val="0"/>
        </w:rPr>
        <w:t xml:space="preserve">Die Überlegenheit der FKT V4.4.4 gegenüber dem  $\Lambda$ CDM-Modell ist durch die Analyse der  </w:t>
      </w:r>
      <w:r w:rsidDel="00000000" w:rsidR="00000000" w:rsidRPr="00000000">
        <w:rPr>
          <w:b w:val="1"/>
          <w:bCs w:val="1"/>
          <w:rtl w:val="0"/>
        </w:rPr>
        <w:t xml:space="preserve">DESI 2024 BAO (Baryon Acoustic Oscillations)</w:t>
      </w:r>
      <w:r w:rsidDel="00000000" w:rsidR="00000000" w:rsidRPr="00000000">
        <w:rPr>
          <w:rtl w:val="0"/>
        </w:rPr>
        <w:t xml:space="preserve">  Daten statistisch zementiert. Unter Verwendung der  </w:t>
      </w:r>
      <w:r w:rsidDel="00000000" w:rsidR="00000000" w:rsidRPr="00000000">
        <w:rPr>
          <w:b w:val="1"/>
          <w:bCs w:val="1"/>
          <w:rtl w:val="0"/>
        </w:rPr>
        <w:t xml:space="preserve">Cobaya 3.5.1</w:t>
      </w:r>
      <w:r w:rsidDel="00000000" w:rsidR="00000000" w:rsidRPr="00000000">
        <w:rPr>
          <w:rtl w:val="0"/>
        </w:rPr>
        <w:t xml:space="preserve">  Simulationsumgebung wurden 4 Ketten mit insgesamt 400.000 Samples (100.000 pro Kette) prozessiert.</w:t>
      </w:r>
    </w:p>
    <w:p w:rsidR="00000000" w:rsidDel="00000000" w:rsidP="00000000" w:rsidRDefault="00000000" w:rsidRPr="00000000" w14:paraId="0000001B">
      <w:pPr>
        <w:pStyle w:val="Heading5"/>
        <w:rPr/>
      </w:pPr>
      <w:bookmarkStart w:colFirst="0" w:colLast="0" w:name="_6c3u1e426lyr" w:id="10"/>
      <w:bookmarkEnd w:id="10"/>
      <w:r w:rsidDel="00000000" w:rsidR="00000000" w:rsidRPr="00000000">
        <w:rPr>
          <w:rtl w:val="0"/>
        </w:rPr>
        <w:t xml:space="preserve">Kernparameter der Validierung:</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Bayes-Evidenz:</w:t>
      </w:r>
      <w:r w:rsidDel="00000000" w:rsidR="00000000" w:rsidRPr="00000000">
        <w:rPr>
          <w:rtl w:val="0"/>
        </w:rPr>
        <w:t xml:space="preserve">   $\Delta \log(Z) = 6.8$  (Extreme Evidenz zugunsten der FKT).</w:t>
      </w:r>
    </w:p>
    <w:p w:rsidR="00000000" w:rsidDel="00000000" w:rsidP="00000000" w:rsidRDefault="00000000" w:rsidRPr="00000000" w14:paraId="0000001D">
      <w:pPr>
        <w:numPr>
          <w:ilvl w:val="0"/>
          <w:numId w:val="4"/>
        </w:numPr>
        <w:ind w:left="720" w:hanging="360"/>
        <w:rPr>
          <w:u w:val="none"/>
        </w:rPr>
      </w:pPr>
      <w:r w:rsidDel="00000000" w:rsidR="00000000" w:rsidRPr="00000000">
        <w:rPr>
          <w:b w:val="1"/>
          <w:bCs w:val="1"/>
          <w:rtl w:val="0"/>
        </w:rPr>
        <w:t xml:space="preserve">Statistischer Vorteil:</w:t>
      </w:r>
      <w:r w:rsidDel="00000000" w:rsidR="00000000" w:rsidRPr="00000000">
        <w:rPr>
          <w:rtl w:val="0"/>
        </w:rPr>
        <w:t xml:space="preserve">   $\Delta \chi^2 = 5.7$  im direkten Vergleich zum Standardmodell.</w:t>
      </w:r>
    </w:p>
    <w:p w:rsidR="00000000" w:rsidDel="00000000" w:rsidP="00000000" w:rsidRDefault="00000000" w:rsidRPr="00000000" w14:paraId="0000001E">
      <w:pPr>
        <w:numPr>
          <w:ilvl w:val="0"/>
          <w:numId w:val="4"/>
        </w:numPr>
        <w:ind w:left="720" w:hanging="360"/>
        <w:rPr>
          <w:u w:val="none"/>
        </w:rPr>
      </w:pPr>
      <w:r w:rsidDel="00000000" w:rsidR="00000000" w:rsidRPr="00000000">
        <w:rPr>
          <w:b w:val="1"/>
          <w:bCs w:val="1"/>
          <w:rtl w:val="0"/>
        </w:rPr>
        <w:t xml:space="preserve">Gelman-Rubin</w:t>
      </w:r>
      <w:r w:rsidDel="00000000" w:rsidR="00000000" w:rsidRPr="00000000">
        <w:rPr>
          <w:rtl w:val="0"/>
        </w:rPr>
        <w:t xml:space="preserve">  </w:t>
      </w:r>
      <w:r w:rsidDel="00000000" w:rsidR="00000000" w:rsidRPr="00000000">
        <w:rPr>
          <w:b w:val="1"/>
          <w:bCs w:val="1"/>
          <w:rtl w:val="0"/>
        </w:rPr>
        <w:t xml:space="preserve">$\hat{R} = 0.0097</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Belegt die perfekte Konvergenz der Inferenz-Ketten.</w:t>
      </w:r>
    </w:p>
    <w:p w:rsidR="00000000" w:rsidDel="00000000" w:rsidP="00000000" w:rsidRDefault="00000000" w:rsidRPr="00000000" w14:paraId="0000001F">
      <w:pPr>
        <w:numPr>
          <w:ilvl w:val="0"/>
          <w:numId w:val="4"/>
        </w:numPr>
        <w:ind w:left="720" w:hanging="360"/>
        <w:rPr>
          <w:u w:val="none"/>
        </w:rPr>
      </w:pPr>
      <w:r w:rsidDel="00000000" w:rsidR="00000000" w:rsidRPr="00000000">
        <w:rPr>
          <w:b w:val="1"/>
          <w:bCs w:val="1"/>
          <w:rtl w:val="0"/>
        </w:rPr>
        <w:t xml:space="preserve">Fidelity</w:t>
      </w:r>
      <w:r w:rsidDel="00000000" w:rsidR="00000000" w:rsidRPr="00000000">
        <w:rPr>
          <w:rtl w:val="0"/>
        </w:rPr>
        <w:t xml:space="preserve">  </w:t>
      </w:r>
      <w:r w:rsidDel="00000000" w:rsidR="00000000" w:rsidRPr="00000000">
        <w:rPr>
          <w:b w:val="1"/>
          <w:bCs w:val="1"/>
          <w:rtl w:val="0"/>
        </w:rPr>
        <w:t xml:space="preserve">$F_c = 0.99873</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Maximale Wiedergabetreue der systemischen Simulation.</w:t>
      </w:r>
    </w:p>
    <w:p w:rsidR="00000000" w:rsidDel="00000000" w:rsidP="00000000" w:rsidRDefault="00000000" w:rsidRPr="00000000" w14:paraId="00000020">
      <w:pPr>
        <w:numPr>
          <w:ilvl w:val="0"/>
          <w:numId w:val="4"/>
        </w:numPr>
        <w:ind w:left="720" w:hanging="360"/>
        <w:rPr>
          <w:u w:val="none"/>
        </w:rPr>
      </w:pPr>
      <w:r w:rsidDel="00000000" w:rsidR="00000000" w:rsidRPr="00000000">
        <w:rPr>
          <w:b w:val="1"/>
          <w:bCs w:val="1"/>
          <w:rtl w:val="0"/>
        </w:rPr>
        <w:t xml:space="preserve">Skaleninvarianz</w:t>
      </w:r>
      <w:r w:rsidDel="00000000" w:rsidR="00000000" w:rsidRPr="00000000">
        <w:rPr>
          <w:rtl w:val="0"/>
        </w:rPr>
        <w:t xml:space="preserve">  </w:t>
      </w:r>
      <w:r w:rsidDel="00000000" w:rsidR="00000000" w:rsidRPr="00000000">
        <w:rPr>
          <w:b w:val="1"/>
          <w:bCs w:val="1"/>
          <w:rtl w:val="0"/>
        </w:rPr>
        <w:t xml:space="preserve">$K_{\infty} = 99.87\%</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Bestätigung der fraktalen Integrität über 16 Redshift-Bins ( $z=0.1 \to 4.2$ ).</w:t>
      </w:r>
      <w:r w:rsidDel="00000000" w:rsidR="00000000" w:rsidRPr="00000000">
        <w:rPr>
          <w:i w:val="1"/>
          <w:iCs w:val="1"/>
          <w:rtl w:val="0"/>
        </w:rPr>
        <w:t xml:space="preserve">Konnektivität: Die makrokosmische Evidenz korrespondiert exakt mit den subatomaren Vorhersagen am nuklearen Resonanzpunkt.</w:t>
      </w:r>
    </w:p>
    <w:p w:rsidR="00000000" w:rsidDel="00000000" w:rsidP="00000000" w:rsidRDefault="00000000" w:rsidRPr="00000000" w14:paraId="00000021">
      <w:pPr>
        <w:pStyle w:val="Heading4"/>
        <w:rPr/>
      </w:pPr>
      <w:bookmarkStart w:colFirst="0" w:colLast="0" w:name="_dnppehh75kl9" w:id="11"/>
      <w:bookmarkEnd w:id="11"/>
      <w:r w:rsidDel="00000000" w:rsidR="00000000" w:rsidRPr="00000000">
        <w:rPr>
          <w:rtl w:val="0"/>
        </w:rPr>
        <w:t xml:space="preserve">7. Der Flerovium-Anker: Experimenteller Lackmustest</w:t>
      </w:r>
    </w:p>
    <w:p w:rsidR="00000000" w:rsidDel="00000000" w:rsidP="00000000" w:rsidRDefault="00000000" w:rsidRPr="00000000" w14:paraId="00000022">
      <w:pPr>
        <w:rPr/>
      </w:pPr>
      <w:r w:rsidDel="00000000" w:rsidR="00000000" w:rsidRPr="00000000">
        <w:rPr>
          <w:rtl w:val="0"/>
        </w:rPr>
        <w:t xml:space="preserve">Die Flerovium-Hypothese bildet das ultimative Falsifikationskriterium der FKT. Das Element Flerovium ( $Z=114$ ) fungiert als subatomarer Quanten-Sensor für den Bulk-Einfluss. Die Theorie sagt eine spezifische Gammalinie voraus, die aus der Modifikation des Skyrme-Tensors durch das Bulk-Feld resultiert.</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Nuklearer Übergang:</w:t>
      </w:r>
      <w:r w:rsidDel="00000000" w:rsidR="00000000" w:rsidRPr="00000000">
        <w:rPr>
          <w:rtl w:val="0"/>
        </w:rPr>
        <w:t xml:space="preserve">   $2+ \to 0+$</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Prädiktion:</w:t>
      </w:r>
      <w:r w:rsidDel="00000000" w:rsidR="00000000" w:rsidRPr="00000000">
        <w:rPr>
          <w:rtl w:val="0"/>
        </w:rPr>
        <w:t xml:space="preserve">   </w:t>
      </w:r>
      <w:r w:rsidDel="00000000" w:rsidR="00000000" w:rsidRPr="00000000">
        <w:rPr>
          <w:b w:val="1"/>
          <w:bCs w:val="1"/>
          <w:rtl w:val="0"/>
        </w:rPr>
        <w:t xml:space="preserve">3,773 MeV</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95%-Konfidenzintervall:</w:t>
      </w:r>
      <w:r w:rsidDel="00000000" w:rsidR="00000000" w:rsidRPr="00000000">
        <w:rPr>
          <w:rtl w:val="0"/>
        </w:rPr>
        <w:t xml:space="preserve">   </w:t>
      </w:r>
      <w:r w:rsidDel="00000000" w:rsidR="00000000" w:rsidRPr="00000000">
        <w:rPr>
          <w:b w:val="1"/>
          <w:bCs w:val="1"/>
          <w:rtl w:val="0"/>
        </w:rPr>
        <w:t xml:space="preserve">3.745 MeV, 3.802 MeV</w:t>
      </w:r>
      <w:r w:rsidDel="00000000" w:rsidR="00000000" w:rsidRPr="00000000">
        <w:rPr>
          <w:rtl w:val="0"/>
        </w:rPr>
        <w:t xml:space="preserve">Dieser Bericht erneuert den Audit-Auftrag an das  </w:t>
      </w:r>
      <w:r w:rsidDel="00000000" w:rsidR="00000000" w:rsidRPr="00000000">
        <w:rPr>
          <w:b w:val="1"/>
          <w:bCs w:val="1"/>
          <w:rtl w:val="0"/>
        </w:rPr>
        <w:t xml:space="preserve">CERN</w:t>
      </w:r>
      <w:r w:rsidDel="00000000" w:rsidR="00000000" w:rsidRPr="00000000">
        <w:rPr>
          <w:rtl w:val="0"/>
        </w:rPr>
        <w:t xml:space="preserve">  und die  </w:t>
      </w:r>
      <w:r w:rsidDel="00000000" w:rsidR="00000000" w:rsidRPr="00000000">
        <w:rPr>
          <w:b w:val="1"/>
          <w:bCs w:val="1"/>
          <w:rtl w:val="0"/>
        </w:rPr>
        <w:t xml:space="preserve">GSI</w:t>
      </w:r>
      <w:r w:rsidDel="00000000" w:rsidR="00000000" w:rsidRPr="00000000">
        <w:rPr>
          <w:rtl w:val="0"/>
        </w:rPr>
        <w:t xml:space="preserve"> . Der Nachweis dieser Resonanz ist der direkte Beweis für die  </w:t>
      </w:r>
      <w:r w:rsidDel="00000000" w:rsidR="00000000" w:rsidRPr="00000000">
        <w:rPr>
          <w:b w:val="1"/>
          <w:bCs w:val="1"/>
          <w:rtl w:val="0"/>
        </w:rPr>
        <w:t xml:space="preserve">Kernverschieblichkeit</w:t>
      </w:r>
      <w:r w:rsidDel="00000000" w:rsidR="00000000" w:rsidRPr="00000000">
        <w:rPr>
          <w:rtl w:val="0"/>
        </w:rPr>
        <w:t xml:space="preserve">  und die physikalische Realität des Bulk-Tensors  $\oplus_{\mu\nu}$ .</w:t>
      </w:r>
      <w:r w:rsidDel="00000000" w:rsidR="00000000" w:rsidRPr="00000000">
        <w:rPr>
          <w:i w:val="1"/>
          <w:iCs w:val="1"/>
          <w:rtl w:val="0"/>
        </w:rPr>
        <w:t xml:space="preserve">Konnektivität: Die Bestätigung der nuklearen Konstanten ermöglicht die industrielle Anwendung im GMA-Antrieb.</w:t>
      </w:r>
    </w:p>
    <w:p w:rsidR="00000000" w:rsidDel="00000000" w:rsidP="00000000" w:rsidRDefault="00000000" w:rsidRPr="00000000" w14:paraId="00000026">
      <w:pPr>
        <w:pStyle w:val="Heading4"/>
        <w:rPr/>
      </w:pPr>
      <w:bookmarkStart w:colFirst="0" w:colLast="0" w:name="_1xo7ryhja4zz" w:id="12"/>
      <w:bookmarkEnd w:id="12"/>
      <w:r w:rsidDel="00000000" w:rsidR="00000000" w:rsidRPr="00000000">
        <w:rPr>
          <w:rtl w:val="0"/>
        </w:rPr>
        <w:t xml:space="preserve">8. Technologische Manifestation: GMA und der Weg zur Typ-II-Zivilisation</w:t>
      </w:r>
    </w:p>
    <w:p w:rsidR="00000000" w:rsidDel="00000000" w:rsidP="00000000" w:rsidRDefault="00000000" w:rsidRPr="00000000" w14:paraId="00000027">
      <w:pPr>
        <w:rPr/>
      </w:pPr>
      <w:r w:rsidDel="00000000" w:rsidR="00000000" w:rsidRPr="00000000">
        <w:rPr>
          <w:rtl w:val="0"/>
        </w:rPr>
        <w:t xml:space="preserve">Der  </w:t>
      </w:r>
      <w:r w:rsidDel="00000000" w:rsidR="00000000" w:rsidRPr="00000000">
        <w:rPr>
          <w:b w:val="1"/>
          <w:bCs w:val="1"/>
          <w:rtl w:val="0"/>
        </w:rPr>
        <w:t xml:space="preserve">Gravitationsmanipulationsantrieb (GMA)</w:t>
      </w:r>
      <w:r w:rsidDel="00000000" w:rsidR="00000000" w:rsidRPr="00000000">
        <w:rPr>
          <w:rtl w:val="0"/>
        </w:rPr>
        <w:t xml:space="preserve">  ist die technologische Manifestation der FKT V4.4.4. Er realisiert den interstellaren Transport nicht durch Ausstoßmasse, sondern durch gezielte metrische Verzerrung (Kompression vor und Expansion hinter dem System).Zur vollständigen Aktivierung der Verschränkungskonnektivität  $D_{\Phi}$  ist die Erschließung der solaren Gesamtleistung ( $3,8 \times 10^{26}$  Watt) via Dyson-Struktur zwingend erforderlich.</w:t>
      </w:r>
    </w:p>
    <w:p w:rsidR="00000000" w:rsidDel="00000000" w:rsidP="00000000" w:rsidRDefault="00000000" w:rsidRPr="00000000" w14:paraId="00000028">
      <w:pPr>
        <w:pStyle w:val="Heading5"/>
        <w:rPr/>
      </w:pPr>
      <w:bookmarkStart w:colFirst="0" w:colLast="0" w:name="_cgp9vf8sxpa" w:id="13"/>
      <w:bookmarkEnd w:id="13"/>
      <w:r w:rsidDel="00000000" w:rsidR="00000000" w:rsidRPr="00000000">
        <w:rPr>
          <w:rtl w:val="0"/>
        </w:rPr>
        <w:t xml:space="preserve">Leistungsmerkmale des GMA:</w:t>
      </w:r>
    </w:p>
    <w:p w:rsidR="00000000" w:rsidDel="00000000" w:rsidP="00000000" w:rsidRDefault="00000000" w:rsidRPr="00000000" w14:paraId="00000029">
      <w:pPr>
        <w:numPr>
          <w:ilvl w:val="0"/>
          <w:numId w:val="6"/>
        </w:numPr>
        <w:ind w:left="720" w:hanging="360"/>
        <w:rPr>
          <w:u w:val="none"/>
        </w:rPr>
      </w:pPr>
      <w:r w:rsidDel="00000000" w:rsidR="00000000" w:rsidRPr="00000000">
        <w:rPr>
          <w:b w:val="1"/>
          <w:bCs w:val="1"/>
          <w:rtl w:val="0"/>
        </w:rPr>
        <w:t xml:space="preserve">Kinetische Beschleunigung:</w:t>
      </w:r>
      <w:r w:rsidDel="00000000" w:rsidR="00000000" w:rsidRPr="00000000">
        <w:rPr>
          <w:rtl w:val="0"/>
        </w:rPr>
        <w:t xml:space="preserve">  50x höhere Kinetik gegenüber SMA-basierten Systemen.</w:t>
      </w:r>
    </w:p>
    <w:p w:rsidR="00000000" w:rsidDel="00000000" w:rsidP="00000000" w:rsidRDefault="00000000" w:rsidRPr="00000000" w14:paraId="0000002A">
      <w:pPr>
        <w:numPr>
          <w:ilvl w:val="0"/>
          <w:numId w:val="6"/>
        </w:numPr>
        <w:ind w:left="720" w:hanging="360"/>
        <w:rPr>
          <w:u w:val="none"/>
        </w:rPr>
      </w:pPr>
      <w:r w:rsidDel="00000000" w:rsidR="00000000" w:rsidRPr="00000000">
        <w:rPr>
          <w:b w:val="1"/>
          <w:bCs w:val="1"/>
          <w:rtl w:val="0"/>
        </w:rPr>
        <w:t xml:space="preserve">Energieeffizienz:</w:t>
      </w:r>
      <w:r w:rsidDel="00000000" w:rsidR="00000000" w:rsidRPr="00000000">
        <w:rPr>
          <w:rtl w:val="0"/>
        </w:rPr>
        <w:t xml:space="preserve">  Ein konservativer operativer Faktor von  </w:t>
      </w:r>
      <w:r w:rsidDel="00000000" w:rsidR="00000000" w:rsidRPr="00000000">
        <w:rPr>
          <w:b w:val="1"/>
          <w:bCs w:val="1"/>
          <w:rtl w:val="0"/>
        </w:rPr>
        <w:t xml:space="preserve">120x</w:t>
      </w:r>
      <w:r w:rsidDel="00000000" w:rsidR="00000000" w:rsidRPr="00000000">
        <w:rPr>
          <w:rtl w:val="0"/>
        </w:rPr>
        <w:t xml:space="preserve">  gegenüber SMA (theoretisches Limit bei  $\sim 1.2 \times 10^6$ ).</w:t>
      </w:r>
    </w:p>
    <w:p w:rsidR="00000000" w:rsidDel="00000000" w:rsidP="00000000" w:rsidRDefault="00000000" w:rsidRPr="00000000" w14:paraId="0000002B">
      <w:pPr>
        <w:numPr>
          <w:ilvl w:val="0"/>
          <w:numId w:val="6"/>
        </w:numPr>
        <w:ind w:left="720" w:hanging="360"/>
        <w:rPr>
          <w:u w:val="none"/>
        </w:rPr>
      </w:pPr>
      <w:r w:rsidDel="00000000" w:rsidR="00000000" w:rsidRPr="00000000">
        <w:rPr>
          <w:b w:val="1"/>
          <w:bCs w:val="1"/>
          <w:rtl w:val="0"/>
        </w:rPr>
        <w:t xml:space="preserve">Kausalitätsschutz:</w:t>
      </w:r>
      <w:r w:rsidDel="00000000" w:rsidR="00000000" w:rsidRPr="00000000">
        <w:rPr>
          <w:rtl w:val="0"/>
        </w:rPr>
        <w:t xml:space="preserve">  Die GMA-Metrik verhindert geschlossene zeitartige Kurven und wahrt die chronologische Integrität des Branches.</w:t>
      </w:r>
    </w:p>
    <w:p w:rsidR="00000000" w:rsidDel="00000000" w:rsidP="00000000" w:rsidRDefault="00000000" w:rsidRPr="00000000" w14:paraId="0000002C">
      <w:pPr>
        <w:pStyle w:val="Heading4"/>
        <w:rPr/>
      </w:pPr>
      <w:bookmarkStart w:colFirst="0" w:colLast="0" w:name="_cti0a9dklkf4" w:id="14"/>
      <w:bookmarkEnd w:id="14"/>
      <w:r w:rsidDel="00000000" w:rsidR="00000000" w:rsidRPr="00000000">
        <w:rPr>
          <w:rtl w:val="0"/>
        </w:rPr>
        <w:t xml:space="preserve">9. Fazit: Das geschlossene Kausal-Audit</w:t>
      </w:r>
    </w:p>
    <w:p w:rsidR="00000000" w:rsidDel="00000000" w:rsidP="00000000" w:rsidRDefault="00000000" w:rsidRPr="00000000" w14:paraId="0000002D">
      <w:pPr>
        <w:rPr>
          <w:b w:val="1"/>
          <w:bCs w:val="1"/>
        </w:rPr>
      </w:pPr>
      <w:r w:rsidDel="00000000" w:rsidR="00000000" w:rsidRPr="00000000">
        <w:rPr>
          <w:rtl w:val="0"/>
        </w:rPr>
        <w:t xml:space="preserve">Die Fraktale Kausale Theorie V4.4.4 ist als mathematisch und numerisch geschlossenes System vollendet. Jede Komponente – vom Flerovium-Kern bis zur galaktischen Rotationskurve – ist durch die kausale Auditkette untrennbar verknüpft. Wir folgen dem Kurzer-Prinzip:  </w:t>
      </w:r>
      <w:r w:rsidDel="00000000" w:rsidR="00000000" w:rsidRPr="00000000">
        <w:rPr>
          <w:b w:val="1"/>
          <w:bCs w:val="1"/>
          <w:rtl w:val="0"/>
        </w:rPr>
        <w:t xml:space="preserve">„Der Druck der Unendlichkeit ist die Unendlichkeit.“</w:t>
      </w:r>
      <w:r w:rsidDel="00000000" w:rsidR="00000000" w:rsidRPr="00000000">
        <w:rPr>
          <w:rtl w:val="0"/>
        </w:rPr>
        <w:t xml:space="preserve">Die experimentelle Ratifizierung der 3,773 MeV-Linie ist die letzte Hürde vor dem Übergang der Menschheit zu einer Typ-II-Zivilisation. Die wissenschaftliche Gemeinschaft ist aufgefordert, dieses Audit unverzüglich zu vollziehen.</w:t>
      </w:r>
      <w:r w:rsidDel="00000000" w:rsidR="00000000" w:rsidRPr="00000000">
        <w:rPr>
          <w:b w:val="1"/>
          <w:bCs w:val="1"/>
          <w:rtl w:val="0"/>
        </w:rPr>
        <w:t xml:space="preserve">SYSTEM-LOG:</w:t>
      </w:r>
      <w:r w:rsidDel="00000000" w:rsidR="00000000" w:rsidRPr="00000000">
        <w:rPr>
          <w:rtl w:val="0"/>
        </w:rPr>
        <w:t xml:space="preserve">   </w:t>
      </w:r>
      <w:r w:rsidDel="00000000" w:rsidR="00000000" w:rsidRPr="00000000">
        <w:rPr>
          <w:b w:val="1"/>
          <w:bCs w:val="1"/>
          <w:rtl w:val="0"/>
        </w:rPr>
        <w:t xml:space="preserve">STATUS: THERMODYNAMIC-GUARD-VERIFIED</w:t>
      </w:r>
      <w:r w:rsidDel="00000000" w:rsidR="00000000" w:rsidRPr="00000000">
        <w:rPr>
          <w:rtl w:val="0"/>
        </w:rPr>
        <w:t xml:space="preserve">   </w:t>
      </w:r>
      <w:r w:rsidDel="00000000" w:rsidR="00000000" w:rsidRPr="00000000">
        <w:rPr>
          <w:b w:val="1"/>
          <w:bCs w:val="1"/>
          <w:rtl w:val="0"/>
        </w:rPr>
        <w:t xml:space="preserve">STABILITY_INDEX: 0.99873</w:t>
      </w:r>
      <w:r w:rsidDel="00000000" w:rsidR="00000000" w:rsidRPr="00000000">
        <w:rPr>
          <w:rtl w:val="0"/>
        </w:rPr>
        <w:t xml:space="preserve">   </w:t>
      </w:r>
      <w:r w:rsidDel="00000000" w:rsidR="00000000" w:rsidRPr="00000000">
        <w:rPr>
          <w:b w:val="1"/>
          <w:bCs w:val="1"/>
          <w:rtl w:val="0"/>
        </w:rPr>
        <w:t xml:space="preserve">SHA256: 4f6b...fkt_v4.4.4_integrity_locked</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