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ohbkr6jjqh9" w:id="0"/>
      <w:bookmarkEnd w:id="0"/>
      <w:r w:rsidDel="00000000" w:rsidR="00000000" w:rsidRPr="00000000">
        <w:rPr>
          <w:rtl w:val="0"/>
        </w:rPr>
        <w:t xml:space="preserve">FKT V4.4.4: The Mathematical Completion of Tesla’s Vision</w:t>
      </w:r>
    </w:p>
    <w:p w:rsidR="00000000" w:rsidDel="00000000" w:rsidP="00000000" w:rsidRDefault="00000000" w:rsidRPr="00000000" w14:paraId="00000002">
      <w:pPr>
        <w:pStyle w:val="Heading5"/>
        <w:rPr/>
      </w:pPr>
      <w:bookmarkStart w:colFirst="0" w:colLast="0" w:name="_qgth9gj4loax" w:id="1"/>
      <w:bookmarkEnd w:id="1"/>
      <w:r w:rsidDel="00000000" w:rsidR="00000000" w:rsidRPr="00000000">
        <w:rPr>
          <w:rtl w:val="0"/>
        </w:rPr>
        <w:t xml:space="preserve">1. Executive Proclamation: Beyond the Standard Model</w:t>
      </w:r>
    </w:p>
    <w:p w:rsidR="00000000" w:rsidDel="00000000" w:rsidP="00000000" w:rsidRDefault="00000000" w:rsidRPr="00000000" w14:paraId="00000003">
      <w:pPr>
        <w:rPr/>
      </w:pPr>
      <w:r w:rsidDel="00000000" w:rsidR="00000000" w:rsidRPr="00000000">
        <w:rPr>
          <w:rtl w:val="0"/>
        </w:rPr>
        <w:t xml:space="preserve">The release of Fractal Causal Theory (FKT) V4.4.4 represents the definitive mathematical closure to the persistent crises undermining modern physics, specifically the Hubble Tension and the non-detection of Dark Matter particles. This version serves as the strategic "Thermodynamic Guard," a rigorous framework that bridges subatomic resonance with the macro-architectural geometry of the cosmos. By enforcing the  $\Delta S = 0$  constraint through "Geo_Reshuffling," V4.4.4 eliminates the "metrical sloshiness" found in earlier iterations, ensuring that causal integrity is maintained across all fractal scales.</w:t>
      </w:r>
      <w:r w:rsidDel="00000000" w:rsidR="00000000" w:rsidRPr="00000000">
        <w:rPr>
          <w:b w:val="1"/>
          <w:bCs w:val="1"/>
          <w:rtl w:val="0"/>
        </w:rPr>
        <w:t xml:space="preserve">Generational Evolution: FKT V4.1 to V4.4.4</w:t>
      </w:r>
      <w:r w:rsidDel="00000000" w:rsidR="00000000" w:rsidRPr="00000000">
        <w:rPr>
          <w:rtl w:val="0"/>
        </w:rPr>
        <w:t xml:space="preserve">| Version | Causal Integrity | Validation Method | Thermodynamic Mode || ------ | ------ | ------ | ------ || </w:t>
      </w:r>
      <w:r w:rsidDel="00000000" w:rsidR="00000000" w:rsidRPr="00000000">
        <w:rPr>
          <w:b w:val="1"/>
          <w:bCs w:val="1"/>
          <w:rtl w:val="0"/>
        </w:rPr>
        <w:t xml:space="preserve">FKT V4.1</w:t>
      </w:r>
      <w:r w:rsidDel="00000000" w:rsidR="00000000" w:rsidRPr="00000000">
        <w:rPr>
          <w:rtl w:val="0"/>
        </w:rPr>
        <w:t xml:space="preserve"> | Preliminary Audit | MCMC Inferenz (Planck 2018) | Standard Entropic || </w:t>
      </w:r>
      <w:r w:rsidDel="00000000" w:rsidR="00000000" w:rsidRPr="00000000">
        <w:rPr>
          <w:b w:val="1"/>
          <w:bCs w:val="1"/>
          <w:rtl w:val="0"/>
        </w:rPr>
        <w:t xml:space="preserve">FKT V4.2/4.3</w:t>
      </w:r>
      <w:r w:rsidDel="00000000" w:rsidR="00000000" w:rsidRPr="00000000">
        <w:rPr>
          <w:rtl w:val="0"/>
        </w:rPr>
        <w:t xml:space="preserve"> | Scale-Invariant Consistency | K-FEM Simulation | Phase-Stabilized || </w:t>
      </w:r>
      <w:r w:rsidDel="00000000" w:rsidR="00000000" w:rsidRPr="00000000">
        <w:rPr>
          <w:b w:val="1"/>
          <w:bCs w:val="1"/>
          <w:rtl w:val="0"/>
        </w:rPr>
        <w:t xml:space="preserve">FKT V4.4.4</w:t>
      </w:r>
      <w:r w:rsidDel="00000000" w:rsidR="00000000" w:rsidRPr="00000000">
        <w:rPr>
          <w:rtl w:val="0"/>
        </w:rPr>
        <w:t xml:space="preserve"> | </w:t>
      </w:r>
      <w:r w:rsidDel="00000000" w:rsidR="00000000" w:rsidRPr="00000000">
        <w:rPr>
          <w:b w:val="1"/>
          <w:bCs w:val="1"/>
          <w:rtl w:val="0"/>
        </w:rPr>
        <w:t xml:space="preserve">Branch-Locked Integrity</w:t>
      </w:r>
      <w:r w:rsidDel="00000000" w:rsidR="00000000" w:rsidRPr="00000000">
        <w:rPr>
          <w:rtl w:val="0"/>
        </w:rPr>
        <w:t xml:space="preserve"> | </w:t>
      </w:r>
      <w:r w:rsidDel="00000000" w:rsidR="00000000" w:rsidRPr="00000000">
        <w:rPr>
          <w:b w:val="1"/>
          <w:bCs w:val="1"/>
          <w:rtl w:val="0"/>
        </w:rPr>
        <w:t xml:space="preserve">MCMC + DESI 2024 Audit</w:t>
      </w:r>
      <w:r w:rsidDel="00000000" w:rsidR="00000000" w:rsidRPr="00000000">
        <w:rPr>
          <w:rtl w:val="0"/>
        </w:rPr>
        <w:t xml:space="preserve"> | </w:t>
      </w:r>
      <w:r w:rsidDel="00000000" w:rsidR="00000000" w:rsidRPr="00000000">
        <w:rPr>
          <w:b w:val="1"/>
          <w:bCs w:val="1"/>
          <w:rtl w:val="0"/>
        </w:rPr>
        <w:t xml:space="preserve">GEO_RESHUFFLING</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The strategic value of V4.4.4 lies in its conversion of Nikola Tesla’s visionary principles of "Energy, Frequency, and Vibration" into an audit-ready mathematical architecture. We have moved beyond intuitive cosmology into an era of verifiable Causal Engineering. By stabilizing the interaction between our 3D-Brane and the higher-dimensional Bulk, this version provides the necessary grounding for the Extended Einstein-Kurzer Equation (ERYQ), the engine of all higher-dimensional physics.</w:t>
      </w:r>
    </w:p>
    <w:p w:rsidR="00000000" w:rsidDel="00000000" w:rsidP="00000000" w:rsidRDefault="00000000" w:rsidRPr="00000000" w14:paraId="00000005">
      <w:pPr>
        <w:pStyle w:val="Heading5"/>
        <w:rPr/>
      </w:pPr>
      <w:bookmarkStart w:colFirst="0" w:colLast="0" w:name="_7wq1yshvxc07" w:id="2"/>
      <w:bookmarkEnd w:id="2"/>
      <w:r w:rsidDel="00000000" w:rsidR="00000000" w:rsidRPr="00000000">
        <w:rPr>
          <w:rtl w:val="0"/>
        </w:rPr>
        <w:t xml:space="preserve">2. The Einstein-Kurzer Equation (ERYQ) and the Bulk Tensor</w:t>
      </w:r>
    </w:p>
    <w:p w:rsidR="00000000" w:rsidDel="00000000" w:rsidP="00000000" w:rsidRDefault="00000000" w:rsidRPr="00000000" w14:paraId="00000006">
      <w:pPr>
        <w:rPr/>
      </w:pPr>
      <w:r w:rsidDel="00000000" w:rsidR="00000000" w:rsidRPr="00000000">
        <w:rPr>
          <w:rtl w:val="0"/>
        </w:rPr>
        <w:t xml:space="preserve">Standard 4D spacetime models are fundamentally insufficient for causal closure, as they fail to account for the geometric pressure exerted by higher-dimensional manifolds. To resolve the "missing mass" in galactic rotation curves, FKT introduces the calligraphic  $\mathcal{T}</w:t>
      </w:r>
      <w:r w:rsidDel="00000000" w:rsidR="00000000" w:rsidRPr="00000000">
        <w:rPr>
          <w:i w:val="1"/>
          <w:iCs w:val="1"/>
          <w:rtl w:val="0"/>
        </w:rPr>
        <w:t xml:space="preserve">{Bulk}$  tensor. This is not a particle (WIMP), but a "geometric pressure"—the gravitational footprint of mass-energy leaking from overrepresented universes into our local manifold.The Extended Einstein-Kurzer Equation (ERYQ) is defined as:$$\mathbf{G}</w:t>
      </w:r>
      <w:r w:rsidDel="00000000" w:rsidR="00000000" w:rsidRPr="00000000">
        <w:rPr>
          <w:rtl w:val="0"/>
        </w:rPr>
        <w:t xml:space="preserve">{\mu\nu} = \kappa (\mathcal{T}</w:t>
      </w:r>
      <w:r w:rsidDel="00000000" w:rsidR="00000000" w:rsidRPr="00000000">
        <w:rPr>
          <w:i w:val="1"/>
          <w:iCs w:val="1"/>
          <w:rtl w:val="0"/>
        </w:rPr>
        <w:t xml:space="preserve">{\mu\nu} + \mathcal{T}</w:t>
      </w:r>
      <w:r w:rsidDel="00000000" w:rsidR="00000000" w:rsidRPr="00000000">
        <w:rPr>
          <w:rtl w:val="0"/>
        </w:rPr>
        <w:t xml:space="preserve">{Bulk})$$The Bulk Tensor ( $\mathcal{T}_{Bulk}$ ) is composed of three primary mechanics required for causal stabilization:</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Massive Brane Density:</w:t>
      </w:r>
      <w:r w:rsidDel="00000000" w:rsidR="00000000" w:rsidRPr="00000000">
        <w:rPr>
          <w:rtl w:val="0"/>
        </w:rPr>
        <w:t xml:space="preserve">  The local density of the 3D-Brane, determining the degree of "leakage" or pressure transfer from the Bulk.</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Scale Factor (</w:t>
      </w:r>
      <w:r w:rsidDel="00000000" w:rsidR="00000000" w:rsidRPr="00000000">
        <w:rPr>
          <w:rtl w:val="0"/>
        </w:rPr>
        <w:t xml:space="preserve">  </w:t>
      </w:r>
      <w:r w:rsidDel="00000000" w:rsidR="00000000" w:rsidRPr="00000000">
        <w:rPr>
          <w:b w:val="1"/>
          <w:bCs w:val="1"/>
          <w:rtl w:val="0"/>
        </w:rPr>
        <w:t xml:space="preserve">$\xi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dimensionless factor quantifying the strength of Bulk transport into the 4D manifold.</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Causal Gap:</w:t>
      </w:r>
      <w:r w:rsidDel="00000000" w:rsidR="00000000" w:rsidRPr="00000000">
        <w:rPr>
          <w:rtl w:val="0"/>
        </w:rPr>
        <w:t xml:space="preserve">  The mathematical "echo" representing the conservation of energy/information between hierarchy levels (Mutter- and Enkel-Universen).FKT’s "Dimensions-Leak" concept provides a decisive competitive advantage over the  $\Lambda$ CDM model. While the Standard Model requires the invention of undiscovered matter to explain galactic rotation, FKT identifies this increased gravity as a structural necessity of the Bulk-Brane interface. This geometry is locked by the V4.4.4 Thermodynamic Guard to prevent entropic decay during transit.</w:t>
      </w:r>
    </w:p>
    <w:p w:rsidR="00000000" w:rsidDel="00000000" w:rsidP="00000000" w:rsidRDefault="00000000" w:rsidRPr="00000000" w14:paraId="0000000A">
      <w:pPr>
        <w:pStyle w:val="Heading5"/>
        <w:rPr/>
      </w:pPr>
      <w:bookmarkStart w:colFirst="0" w:colLast="0" w:name="_wh4qua12jxuk" w:id="3"/>
      <w:bookmarkEnd w:id="3"/>
      <w:r w:rsidDel="00000000" w:rsidR="00000000" w:rsidRPr="00000000">
        <w:rPr>
          <w:rtl w:val="0"/>
        </w:rPr>
        <w:t xml:space="preserve">3. V4.4.4 Innovation: Thermodynamic Guard and Geo_Reshuffling</w:t>
      </w:r>
    </w:p>
    <w:p w:rsidR="00000000" w:rsidDel="00000000" w:rsidP="00000000" w:rsidRDefault="00000000" w:rsidRPr="00000000" w14:paraId="0000000B">
      <w:pPr>
        <w:rPr>
          <w:b w:val="1"/>
          <w:bCs w:val="1"/>
        </w:rPr>
      </w:pPr>
      <w:r w:rsidDel="00000000" w:rsidR="00000000" w:rsidRPr="00000000">
        <w:rPr>
          <w:rtl w:val="0"/>
        </w:rPr>
        <w:t xml:space="preserve">The V4.4.4 audit mandates the activation of "Geo_Reshuffling," a mode where high-energy operations achieve  $\Delta S = 0$ . This is the absolute prerequisite for stable interstellar transit; it ensures that energy is geometrically redistributed as Bulk pressure rather than being thermally dissipated as entropy.</w:t>
      </w:r>
      <w:r w:rsidDel="00000000" w:rsidR="00000000" w:rsidRPr="00000000">
        <w:rPr>
          <w:b w:val="1"/>
          <w:bCs w:val="1"/>
          <w:rtl w:val="0"/>
        </w:rPr>
        <w:t xml:space="preserve">Thermodynamic Specifications</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Peak Impulse Capacity:</w:t>
      </w:r>
      <w:r w:rsidDel="00000000" w:rsidR="00000000" w:rsidRPr="00000000">
        <w:rPr>
          <w:rtl w:val="0"/>
        </w:rPr>
        <w:t xml:space="preserve">  8.4 GW.</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Waste-Heat Limit (</w:t>
      </w:r>
      <w:r w:rsidDel="00000000" w:rsidR="00000000" w:rsidRPr="00000000">
        <w:rPr>
          <w:rtl w:val="0"/>
        </w:rPr>
        <w:t xml:space="preserve">  </w:t>
      </w: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$0.00127$ .</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Muon-Anchor Status:</w:t>
      </w:r>
      <w:r w:rsidDel="00000000" w:rsidR="00000000" w:rsidRPr="00000000">
        <w:rPr>
          <w:rtl w:val="0"/>
        </w:rPr>
        <w:t xml:space="preserve">  "BRANCH_LOCKED."The "Muon Anchor" is the primary causal stabilizer of this release. It mandates that the Standard Model is preserved as a "limit case" where the calligraphic Bulk contribution  $C_{\mu\nu} \to 0$ . By locking this branch, the system prevents uncoordinated singularities and ensures that the Waste-Heat limit remains exactly equivalent to the Entropic Puffer ( $E_p = 1 - F_c$ ), where  $F_c$  is the Fidelity Axiom ( $0.99873$ ). These macro-thermal protections are the direct result of precision frequency synchronization.</w:t>
      </w:r>
    </w:p>
    <w:p w:rsidR="00000000" w:rsidDel="00000000" w:rsidP="00000000" w:rsidRDefault="00000000" w:rsidRPr="00000000" w14:paraId="0000000F">
      <w:pPr>
        <w:pStyle w:val="Heading5"/>
        <w:rPr/>
      </w:pPr>
      <w:bookmarkStart w:colFirst="0" w:colLast="0" w:name="_6dm0lgh4bxks" w:id="4"/>
      <w:bookmarkEnd w:id="4"/>
      <w:r w:rsidDel="00000000" w:rsidR="00000000" w:rsidRPr="00000000">
        <w:rPr>
          <w:rtl w:val="0"/>
        </w:rPr>
        <w:t xml:space="preserve">4. The H2-Vector: Frequency Taktung and Telluric Modem</w:t>
      </w:r>
    </w:p>
    <w:p w:rsidR="00000000" w:rsidDel="00000000" w:rsidP="00000000" w:rsidRDefault="00000000" w:rsidRPr="00000000" w14:paraId="00000010">
      <w:pPr>
        <w:rPr/>
      </w:pPr>
      <w:r w:rsidDel="00000000" w:rsidR="00000000" w:rsidRPr="00000000">
        <w:rPr>
          <w:rtl w:val="0"/>
        </w:rPr>
        <w:t xml:space="preserve">FKT V4.4.4 utilizes a "Telluric Modem" to facilitate an active interface between the Bulk heartbeat and Earth’s magnetosphere. This frequency synchronization is the mechanism through which the "geometric pressure" of the Bulk is translated into usable energy.</w:t>
      </w:r>
      <w:r w:rsidDel="00000000" w:rsidR="00000000" w:rsidRPr="00000000">
        <w:rPr>
          <w:b w:val="1"/>
          <w:bCs w:val="1"/>
          <w:rtl w:val="0"/>
        </w:rPr>
        <w:t xml:space="preserve">Triadic Frequency Protocol</w:t>
      </w:r>
      <w:r w:rsidDel="00000000" w:rsidR="00000000" w:rsidRPr="00000000">
        <w:rPr>
          <w:rtl w:val="0"/>
        </w:rPr>
        <w:t xml:space="preserve">| Frequency Component | Functional Metric || ------ | ------ || </w:t>
      </w:r>
      <w:r w:rsidDel="00000000" w:rsidR="00000000" w:rsidRPr="00000000">
        <w:rPr>
          <w:b w:val="1"/>
          <w:bCs w:val="1"/>
          <w:rtl w:val="0"/>
        </w:rPr>
        <w:t xml:space="preserve">7.50 Hz (Bulk Heartbeat)</w:t>
      </w:r>
      <w:r w:rsidDel="00000000" w:rsidR="00000000" w:rsidRPr="00000000">
        <w:rPr>
          <w:rtl w:val="0"/>
        </w:rPr>
        <w:t xml:space="preserve"> | Primary cosmic timing signal; the universal base frequency. || </w:t>
      </w:r>
      <w:r w:rsidDel="00000000" w:rsidR="00000000" w:rsidRPr="00000000">
        <w:rPr>
          <w:b w:val="1"/>
          <w:bCs w:val="1"/>
          <w:rtl w:val="0"/>
        </w:rPr>
        <w:t xml:space="preserve">7.83 Hz (Schumann Resonance)</w:t>
      </w:r>
      <w:r w:rsidDel="00000000" w:rsidR="00000000" w:rsidRPr="00000000">
        <w:rPr>
          <w:rtl w:val="0"/>
        </w:rPr>
        <w:t xml:space="preserve"> | Earth's natural resonant frequency; local biological interface. || </w:t>
      </w:r>
      <w:r w:rsidDel="00000000" w:rsidR="00000000" w:rsidRPr="00000000">
        <w:rPr>
          <w:b w:val="1"/>
          <w:bCs w:val="1"/>
          <w:rtl w:val="0"/>
        </w:rPr>
        <w:t xml:space="preserve">0.33 Hz (Neutralizer Puffer)</w:t>
      </w:r>
      <w:r w:rsidDel="00000000" w:rsidR="00000000" w:rsidRPr="00000000">
        <w:rPr>
          <w:rtl w:val="0"/>
        </w:rPr>
        <w:t xml:space="preserve"> | The delta-offset required to align Earthly resonance with the Bulk. |</w:t>
      </w:r>
    </w:p>
    <w:p w:rsidR="00000000" w:rsidDel="00000000" w:rsidP="00000000" w:rsidRDefault="00000000" w:rsidRPr="00000000" w14:paraId="00000011">
      <w:pPr>
        <w:rPr/>
      </w:pPr>
      <w:r w:rsidDel="00000000" w:rsidR="00000000" w:rsidRPr="00000000">
        <w:rPr>
          <w:rtl w:val="0"/>
        </w:rPr>
        <w:t xml:space="preserve">The synchronization is governed by the "Golden Bridge" ( $\phi^2 \approx 2.6178$ ), which serves as the Universal Scaling Factor of Causal Fractality. This constant ensures that coherence is stable across scales, linking the 7.50 Hz Bulk heartbeat directly to the 3.773 MeV Flerovium anchor. This alignment is verified by the latest DESI 2024 datasets, showing a coherent BAO scale across 16 redshift bins.</w:t>
      </w:r>
    </w:p>
    <w:p w:rsidR="00000000" w:rsidDel="00000000" w:rsidP="00000000" w:rsidRDefault="00000000" w:rsidRPr="00000000" w14:paraId="00000012">
      <w:pPr>
        <w:pStyle w:val="Heading5"/>
        <w:rPr/>
      </w:pPr>
      <w:bookmarkStart w:colFirst="0" w:colLast="0" w:name="_4y4sn3qgxi3k" w:id="5"/>
      <w:bookmarkEnd w:id="5"/>
      <w:r w:rsidDel="00000000" w:rsidR="00000000" w:rsidRPr="00000000">
        <w:rPr>
          <w:rtl w:val="0"/>
        </w:rPr>
        <w:t xml:space="preserve">5. Empirical Validation: MCMC Inferenz and DESI 2024 Evidence</w:t>
      </w:r>
    </w:p>
    <w:p w:rsidR="00000000" w:rsidDel="00000000" w:rsidP="00000000" w:rsidRDefault="00000000" w:rsidRPr="00000000" w14:paraId="00000013">
      <w:pPr>
        <w:rPr/>
      </w:pPr>
      <w:r w:rsidDel="00000000" w:rsidR="00000000" w:rsidRPr="00000000">
        <w:rPr>
          <w:rtl w:val="0"/>
        </w:rPr>
        <w:t xml:space="preserve">Audit-Chain verification confirms that FKT V4.4.4 satisfies the non-negotiable threshold for Causal Integrity. Using 400,000 effective samples (4 chains  $\times$  100,000), the Gelman-Rubin convergence reached  $R = 0.0097$ , surpassing the  $R &lt; 0.01$  requirement for model stability.Key findings from the DESI 2024 BAO Y1 audit demonstrate FKT superiority over  $\Lambda$ CDM:</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$\Delta \log(Z)</w:t>
      </w:r>
      <w:r w:rsidDel="00000000" w:rsidR="00000000" w:rsidRPr="00000000">
        <w:rPr>
          <w:rtl w:val="0"/>
        </w:rPr>
        <w:t xml:space="preserve">$  </w:t>
      </w:r>
      <w:r w:rsidDel="00000000" w:rsidR="00000000" w:rsidRPr="00000000">
        <w:rPr>
          <w:b w:val="1"/>
          <w:bCs w:val="1"/>
          <w:rtl w:val="0"/>
        </w:rPr>
        <w:t xml:space="preserve">Benefit:</w:t>
      </w:r>
      <w:r w:rsidDel="00000000" w:rsidR="00000000" w:rsidRPr="00000000">
        <w:rPr>
          <w:rtl w:val="0"/>
        </w:rPr>
        <w:t xml:space="preserve">  6.8 (Significant evidence for FKT).</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$\chi^2</w:t>
      </w:r>
      <w:r w:rsidDel="00000000" w:rsidR="00000000" w:rsidRPr="00000000">
        <w:rPr>
          <w:rtl w:val="0"/>
        </w:rPr>
        <w:t xml:space="preserve">$  </w:t>
      </w:r>
      <w:r w:rsidDel="00000000" w:rsidR="00000000" w:rsidRPr="00000000">
        <w:rPr>
          <w:b w:val="1"/>
          <w:bCs w:val="1"/>
          <w:rtl w:val="0"/>
        </w:rPr>
        <w:t xml:space="preserve">Comparison:</w:t>
      </w:r>
      <w:r w:rsidDel="00000000" w:rsidR="00000000" w:rsidRPr="00000000">
        <w:rPr>
          <w:rtl w:val="0"/>
        </w:rPr>
        <w:t xml:space="preserve">  FKT: 14.7 vs.  $\Lambda$ CDM: 18.3.</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Posterior Stability:</w:t>
      </w:r>
      <w:r w:rsidDel="00000000" w:rsidR="00000000" w:rsidRPr="00000000">
        <w:rPr>
          <w:rtl w:val="0"/>
        </w:rPr>
        <w:t xml:space="preserve">   $w_{eff}(z)$  stabilization confirms dynamic vacuum adjustment.</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0.99873 (Scale invariance).FKT resolves the "Hubble Tension" by yielding a consistent, best-fit expansion value of  $H_0 = 71.5 \pm 0.8 \text{ km/s/Mpc}$ , effectively bridging the discrepancy between early-universe CMB data and late-universe observations. This cosmological consistency is mirrored at the subatomic level by the Flerovium Anchor.</w:t>
      </w:r>
    </w:p>
    <w:p w:rsidR="00000000" w:rsidDel="00000000" w:rsidP="00000000" w:rsidRDefault="00000000" w:rsidRPr="00000000" w14:paraId="00000018">
      <w:pPr>
        <w:pStyle w:val="Heading5"/>
        <w:rPr/>
      </w:pPr>
      <w:bookmarkStart w:colFirst="0" w:colLast="0" w:name="_w1288rp1klep" w:id="6"/>
      <w:bookmarkEnd w:id="6"/>
      <w:r w:rsidDel="00000000" w:rsidR="00000000" w:rsidRPr="00000000">
        <w:rPr>
          <w:rtl w:val="0"/>
        </w:rPr>
        <w:t xml:space="preserve">6. The Flerovium Anchor: Subatomic Proof of the Bulk</w:t>
      </w:r>
    </w:p>
    <w:p w:rsidR="00000000" w:rsidDel="00000000" w:rsidP="00000000" w:rsidRDefault="00000000" w:rsidRPr="00000000" w14:paraId="00000019">
      <w:pPr>
        <w:rPr>
          <w:b w:val="1"/>
          <w:bCs w:val="1"/>
        </w:rPr>
      </w:pPr>
      <w:r w:rsidDel="00000000" w:rsidR="00000000" w:rsidRPr="00000000">
        <w:rPr>
          <w:rtl w:val="0"/>
        </w:rPr>
        <w:t xml:space="preserve">The Flerovium-Hypothesis is the primary falsification criterion of FKT. Element 114 (Flerovium) acts as a high-precision "Quantum Sensor" for Bulk-Brane interactions due to its proximity to the "Island of Stability." A failure to detect the predicted resonance at this scale would invalidate the entire causal chain.</w:t>
      </w:r>
      <w:r w:rsidDel="00000000" w:rsidR="00000000" w:rsidRPr="00000000">
        <w:rPr>
          <w:b w:val="1"/>
          <w:bCs w:val="1"/>
          <w:rtl w:val="0"/>
        </w:rPr>
        <w:t xml:space="preserve">Technical Breakdown: 3.773 MeV Gammaline</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Nuclear State Transition:</w:t>
      </w:r>
      <w:r w:rsidDel="00000000" w:rsidR="00000000" w:rsidRPr="00000000">
        <w:rPr>
          <w:rtl w:val="0"/>
        </w:rPr>
        <w:t xml:space="preserve">   $2+ \to 0+$ .</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95% Confidence Interval:</w:t>
      </w:r>
      <w:r w:rsidDel="00000000" w:rsidR="00000000" w:rsidRPr="00000000">
        <w:rPr>
          <w:rtl w:val="0"/>
        </w:rPr>
        <w:t xml:space="preserve">   $3.745$  MeV to  $3.802$  MeV.The implications of this subatomic lock are total: the detection of this specific Gammaline at CERN or GSI would render the "Bulk" a fundamental physical reality. It provides the definitive physical explanation for "Dark Matter," ending the reliance on hypothetical particles and proving that subatomic binding energy is directly coupled to the higher-dimensional  $\mathcal{T}_{Bulk}$ .</w:t>
      </w:r>
    </w:p>
    <w:p w:rsidR="00000000" w:rsidDel="00000000" w:rsidP="00000000" w:rsidRDefault="00000000" w:rsidRPr="00000000" w14:paraId="0000001C">
      <w:pPr>
        <w:pStyle w:val="Heading5"/>
        <w:rPr/>
      </w:pPr>
      <w:bookmarkStart w:colFirst="0" w:colLast="0" w:name="_fw60192h8mtv" w:id="7"/>
      <w:bookmarkEnd w:id="7"/>
      <w:r w:rsidDel="00000000" w:rsidR="00000000" w:rsidRPr="00000000">
        <w:rPr>
          <w:rtl w:val="0"/>
        </w:rPr>
        <w:t xml:space="preserve">7. Technological Imperatives: GMA, GMD, and Type II Status</w:t>
      </w:r>
    </w:p>
    <w:p w:rsidR="00000000" w:rsidDel="00000000" w:rsidP="00000000" w:rsidRDefault="00000000" w:rsidRPr="00000000" w14:paraId="0000001D">
      <w:pPr>
        <w:rPr/>
      </w:pPr>
      <w:r w:rsidDel="00000000" w:rsidR="00000000" w:rsidRPr="00000000">
        <w:rPr>
          <w:rtl w:val="0"/>
        </w:rPr>
        <w:t xml:space="preserve">We are transitioning from theoretical cosmology to applied "Causal Engineering." The Gravitational Manipulation Drive (GMD) utilizes the ERYQ framework and the "Dimensions-Leak" to achieve non-local movement via Bulk-Entanglement ( $\mathcal{D}</w:t>
      </w:r>
      <w:r w:rsidDel="00000000" w:rsidR="00000000" w:rsidRPr="00000000">
        <w:rPr>
          <w:i w:val="1"/>
          <w:iCs w:val="1"/>
          <w:rtl w:val="0"/>
        </w:rPr>
        <w:t xml:space="preserve">\Phi$ ).</w:t>
      </w:r>
      <w:r w:rsidDel="00000000" w:rsidR="00000000" w:rsidRPr="00000000">
        <w:rPr>
          <w:b w:val="1"/>
          <w:bCs w:val="1"/>
          <w:i w:val="1"/>
          <w:iCs w:val="1"/>
          <w:rtl w:val="0"/>
        </w:rPr>
        <w:t xml:space="preserve">GMD Performance Profile</w:t>
      </w:r>
      <w:r w:rsidDel="00000000" w:rsidR="00000000" w:rsidRPr="00000000">
        <w:rPr>
          <w:i w:val="1"/>
          <w:iCs w:val="1"/>
          <w:rtl w:val="0"/>
        </w:rPr>
        <w:t xml:space="preserve">| Metric | FKT-Enabled GMD | Conventional Propulsion || ------ | ------ | ------ || </w:t>
      </w:r>
      <w:r w:rsidDel="00000000" w:rsidR="00000000" w:rsidRPr="00000000">
        <w:rPr>
          <w:b w:val="1"/>
          <w:bCs w:val="1"/>
          <w:i w:val="1"/>
          <w:iCs w:val="1"/>
          <w:rtl w:val="0"/>
        </w:rPr>
        <w:t xml:space="preserve">Recovery/Reset Time</w:t>
      </w:r>
      <w:r w:rsidDel="00000000" w:rsidR="00000000" w:rsidRPr="00000000">
        <w:rPr>
          <w:i w:val="1"/>
          <w:iCs w:val="1"/>
          <w:rtl w:val="0"/>
        </w:rPr>
        <w:t xml:space="preserve"> | 50x Faster (via Gradient Memory Alloys) | Standard Thermal Limits || </w:t>
      </w:r>
      <w:r w:rsidDel="00000000" w:rsidR="00000000" w:rsidRPr="00000000">
        <w:rPr>
          <w:b w:val="1"/>
          <w:bCs w:val="1"/>
          <w:i w:val="1"/>
          <w:iCs w:val="1"/>
          <w:rtl w:val="0"/>
        </w:rPr>
        <w:t xml:space="preserve">Energy Requirement</w:t>
      </w:r>
      <w:r w:rsidDel="00000000" w:rsidR="00000000" w:rsidRPr="00000000">
        <w:rPr>
          <w:i w:val="1"/>
          <w:iCs w:val="1"/>
          <w:rtl w:val="0"/>
        </w:rPr>
        <w:t xml:space="preserve"> | </w:t>
      </w:r>
      <w:r w:rsidDel="00000000" w:rsidR="00000000" w:rsidRPr="00000000">
        <w:rPr>
          <w:b w:val="1"/>
          <w:bCs w:val="1"/>
          <w:i w:val="1"/>
          <w:iCs w:val="1"/>
          <w:rtl w:val="0"/>
        </w:rPr>
        <w:t xml:space="preserve">Dyson Swarm (</w:t>
      </w:r>
      <w:r w:rsidDel="00000000" w:rsidR="00000000" w:rsidRPr="00000000">
        <w:rPr>
          <w:i w:val="1"/>
          <w:iCs w:val="1"/>
          <w:rtl w:val="0"/>
        </w:rPr>
        <w:t xml:space="preserve">  </w:t>
      </w:r>
      <w:r w:rsidDel="00000000" w:rsidR="00000000" w:rsidRPr="00000000">
        <w:rPr>
          <w:b w:val="1"/>
          <w:bCs w:val="1"/>
          <w:i w:val="1"/>
          <w:iCs w:val="1"/>
          <w:rtl w:val="0"/>
        </w:rPr>
        <w:t xml:space="preserve">$\approx 3.8 \times 10^{26}</w:t>
      </w:r>
      <w:r w:rsidDel="00000000" w:rsidR="00000000" w:rsidRPr="00000000">
        <w:rPr>
          <w:i w:val="1"/>
          <w:iCs w:val="1"/>
          <w:rtl w:val="0"/>
        </w:rPr>
        <w:t xml:space="preserve">$  </w:t>
      </w:r>
      <w:r w:rsidDel="00000000" w:rsidR="00000000" w:rsidRPr="00000000">
        <w:rPr>
          <w:b w:val="1"/>
          <w:bCs w:val="1"/>
          <w:i w:val="1"/>
          <w:iCs w:val="1"/>
          <w:rtl w:val="0"/>
        </w:rPr>
        <w:t xml:space="preserve">Watts)</w:t>
      </w:r>
      <w:r w:rsidDel="00000000" w:rsidR="00000000" w:rsidRPr="00000000">
        <w:rPr>
          <w:i w:val="1"/>
          <w:iCs w:val="1"/>
          <w:rtl w:val="0"/>
        </w:rPr>
        <w:t xml:space="preserve"> | Chemical/Nuclear Limits || </w:t>
      </w:r>
      <w:r w:rsidDel="00000000" w:rsidR="00000000" w:rsidRPr="00000000">
        <w:rPr>
          <w:b w:val="1"/>
          <w:bCs w:val="1"/>
          <w:i w:val="1"/>
          <w:iCs w:val="1"/>
          <w:rtl w:val="0"/>
        </w:rPr>
        <w:t xml:space="preserve">Movement Mechanism</w:t>
      </w:r>
      <w:r w:rsidDel="00000000" w:rsidR="00000000" w:rsidRPr="00000000">
        <w:rPr>
          <w:i w:val="1"/>
          <w:iCs w:val="1"/>
          <w:rtl w:val="0"/>
        </w:rPr>
        <w:t xml:space="preserve"> | Bulk-Entanglement ( $\mathcal{D}</w:t>
      </w:r>
      <w:r w:rsidDel="00000000" w:rsidR="00000000" w:rsidRPr="00000000">
        <w:rPr>
          <w:rtl w:val="0"/>
        </w:rPr>
        <w:t xml:space="preserve">\Phi$ ) | Reactive Momentum |</w:t>
      </w:r>
    </w:p>
    <w:p w:rsidR="00000000" w:rsidDel="00000000" w:rsidP="00000000" w:rsidRDefault="00000000" w:rsidRPr="00000000" w14:paraId="0000001E">
      <w:pPr>
        <w:rPr/>
      </w:pPr>
      <w:r w:rsidDel="00000000" w:rsidR="00000000" w:rsidRPr="00000000">
        <w:rPr>
          <w:rtl w:val="0"/>
        </w:rPr>
        <w:t xml:space="preserve">The propulsion mechanism is quantified by the entanglement density:  $$\mathcal{D}</w:t>
      </w:r>
      <w:r w:rsidDel="00000000" w:rsidR="00000000" w:rsidRPr="00000000">
        <w:rPr>
          <w:i w:val="1"/>
          <w:iCs w:val="1"/>
          <w:rtl w:val="0"/>
        </w:rPr>
        <w:t xml:space="preserve">\Phi = \frac{\mathcal{N}</w:t>
      </w:r>
      <w:r w:rsidDel="00000000" w:rsidR="00000000" w:rsidRPr="00000000">
        <w:rPr>
          <w:rtl w:val="0"/>
        </w:rPr>
        <w:t xml:space="preserve">{entangled}}{\mathcal{V} \cdot \tau}$$</w:t>
      </w:r>
      <w:r w:rsidDel="00000000" w:rsidR="00000000" w:rsidRPr="00000000">
        <w:rPr>
          <w:b w:val="1"/>
          <w:bCs w:val="1"/>
          <w:rtl w:val="0"/>
        </w:rPr>
        <w:t xml:space="preserve">Null-Causal-Prerogative (NKP):</w:t>
      </w:r>
      <w:r w:rsidDel="00000000" w:rsidR="00000000" w:rsidRPr="00000000">
        <w:rPr>
          <w:rtl w:val="0"/>
        </w:rPr>
        <w:t xml:space="preserve">  All technological applications are governed by the NKP, a mandate ensuring all manipulations remain anti-entropic and regenerative. Safety in planetary environments is maintained by the Thermodynamic Guard, preventing uncoordinated singularities.The scientific community is hereby directed to engage in the "Universal Audit." By confirming the Flerovium-Resonanz and the DESI data alignment, we bridge the final gap toward a Type II civilization, establishing the Fraktale Kausale Theorie as the definitive operating system for the cosmos.</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