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==============================================================================</w:t>
        <w:br w:type="textWrapping"/>
        <w:t xml:space="preserve">% FRAKTALE KAUSALE THEORIE (FKT) - DAS GESAMTWERK (ULTIMATIVE FASSUNG)</w:t>
        <w:br w:type="textWrapping"/>
        <w:t xml:space="preserve">% Autor: Dennis Kurzer</w:t>
        <w:br w:type="textWrapping"/>
        <w:t xml:space="preserve">% Version: 4.3 (Finale Manuskript-Struktur mit Inhalt)</w:t>
        <w:br w:type="textWrapping"/>
        <w:t xml:space="preserve">% Umfang: 28 Kapitel + 3 Anhänge</w:t>
        <w:br w:type="textWrapping"/>
        <w:t xml:space="preserve">% ==============================================================================</w:t>
        <w:br w:type="textWrapping"/>
        <w:br w:type="textWrapping"/>
        <w:t xml:space="preserve">\documentclass[11pt, a4paper, openright]{report}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left=3cm, right=2.5cm]{geometry}</w:t>
        <w:br w:type="textWrapping"/>
        <w:t xml:space="preserve">\usepackage{fontspec}</w:t>
        <w:br w:type="textWrapping"/>
        <w:br w:type="textWrapping"/>
        <w:t xml:space="preserve">% Sprachpakete</w:t>
        <w:br w:type="textWrapping"/>
        <w:t xml:space="preserve">\usepackage[german, bidi=basic, provide=*]{babel}</w:t>
        <w:br w:type="textWrapping"/>
        <w:t xml:space="preserve">\babelprovide[import, onchar=ids fonts]{german}</w:t>
        <w:br w:type="textWrapping"/>
        <w:t xml:space="preserve">\babelprovide[import, onchar=ids fonts]{english}</w:t>
        <w:br w:type="textWrapping"/>
        <w:t xml:space="preserve">\babelfont{rm}{Noto Sans}</w:t>
        <w:br w:type="textWrapping"/>
        <w:br w:type="textWrapping"/>
        <w:t xml:space="preserve">% Mathematik und Physik</w:t>
        <w:br w:type="textWrapping"/>
        <w:t xml:space="preserve">\usepackage{amsmath, amssymb, amsfonts}</w:t>
        <w:br w:type="textWrapping"/>
        <w:t xml:space="preserve">\usepackage{siunitx}</w:t>
        <w:br w:type="textWrapping"/>
        <w:t xml:space="preserve">\usepackage{physics}</w:t>
        <w:br w:type="textWrapping"/>
        <w:t xml:space="preserve">\usepackage{bm}</w:t>
        <w:br w:type="textWrapping"/>
        <w:t xml:space="preserve">\usepackage{booktabs}</w:t>
        <w:br w:type="textWrapping"/>
        <w:t xml:space="preserve">\usepackage{graphicx}</w:t>
        <w:br w:type="textWrapping"/>
        <w:t xml:space="preserve">\usepackage{float}</w:t>
        <w:br w:type="textWrapping"/>
        <w:t xml:space="preserve">\usepackage{setspacing}</w:t>
        <w:br w:type="textWrapping"/>
        <w:t xml:space="preserve">\usepackage{fancyhdr}</w:t>
        <w:br w:type="textWrapping"/>
        <w:t xml:space="preserve">\usepackage{titlesec}</w:t>
        <w:br w:type="textWrapping"/>
        <w:t xml:space="preserve">\usepackage{enumitem}</w:t>
        <w:br w:type="textWrapping"/>
        <w:t xml:space="preserve">\usepackage{hyperref}</w:t>
        <w:br w:type="textWrapping"/>
        <w:t xml:space="preserve">\usepackage{longtable}</w:t>
        <w:br w:type="textWrapping"/>
        <w:br w:type="textWrapping"/>
        <w:t xml:space="preserve">\setlength{\parindent}{0pt} % Keine Einrückung</w:t>
        <w:br w:type="textWrapping"/>
        <w:br w:type="textWrapping"/>
        <w:t xml:space="preserve">% --- MAKROS ---</w:t>
        <w:br w:type="textWrapping"/>
        <w:t xml:space="preserve">\newcommand{\FKT}{FKT}</w:t>
        <w:br w:type="textWrapping"/>
        <w:t xml:space="preserve">\newcommand{\bulk}{\chi}</w:t>
        <w:br w:type="textWrapping"/>
        <w:t xml:space="preserve">\newcommand{\wX}{w_{\chi}}</w:t>
        <w:br w:type="textWrapping"/>
        <w:t xml:space="preserve">\newcommand{\TBulk}{T_{\mu\nu}^{\text{Bulk}}}</w:t>
        <w:br w:type="textWrapping"/>
        <w:t xml:space="preserve">\newcommand{\ERYQ}{\text{ERYQ}}</w:t>
        <w:br w:type="textWrapping"/>
        <w:t xml:space="preserve">\newcommand{\DBulk}{D_{\text{Bulk}}}</w:t>
        <w:br w:type="textWrapping"/>
        <w:t xml:space="preserve">\newcommand{\Somega}{S(\omega)}</w:t>
        <w:br w:type="textWrapping"/>
        <w:t xml:space="preserve">\newcommand{\NKP}{\text{NKP}}</w:t>
        <w:br w:type="textWrapping"/>
        <w:t xml:space="preserve">\newcommand{\xiGMA}{\xi}</w:t>
        <w:br w:type="textWrapping"/>
        <w:t xml:space="preserve">\newcommand{\gBulk}{g_{b}}</w:t>
        <w:br w:type="textWrapping"/>
        <w:br w:type="textWrapping"/>
        <w:t xml:space="preserve">% --- FORMATIERUNG ---</w:t>
        <w:br w:type="textWrapping"/>
        <w:t xml:space="preserve">\onehalfspacing</w:t>
        <w:br w:type="textWrapping"/>
        <w:t xml:space="preserve">\pagestyle{fancy}</w:t>
        <w:br w:type="textWrapping"/>
        <w:t xml:space="preserve">\fancyhead[L]{\nouppercase{\leftmark}}</w:t>
        <w:br w:type="textWrapping"/>
        <w:t xml:space="preserve">\fancyhead[R]{\thepage}</w:t>
        <w:br w:type="textWrapping"/>
        <w:t xml:space="preserve">\titleformat{\chapter}[display]{\normalfont\huge\bfseries}{\chaptertitlename\ \thechapter}{20pt}{\Huge}</w:t>
        <w:br w:type="textWrapping"/>
        <w:br w:type="textWrapping"/>
        <w:t xml:space="preserve">\begin{document}</w:t>
        <w:br w:type="textWrapping"/>
        <w:br w:type="textWrapping"/>
        <w:t xml:space="preserve">% ... [TITELSEITE, WIDMUNG, TABLEOFCONTENTS bleiben unverändert] ...</w:t>
        <w:br w:type="textWrapping"/>
        <w:br w:type="textWrapping"/>
        <w:t xml:space="preserve">% ... [KAPITEL 1 bis 8 bleiben unverändert] ...</w:t>
        <w:br w:type="textWrapping"/>
        <w:br w:type="textWrapping"/>
        <w:t xml:space="preserve">\chapter{Black-Box Sessions und Bulk-Dosis}</w:t>
        <w:br w:type="textWrapping"/>
        <w:t xml:space="preserve">\section{Protokolle der initialen $\DBulk$-Applikationen}</w:t>
        <w:br w:type="textWrapping"/>
        <w:t xml:space="preserve">Dieses Kapitel dokumentiert die initialen Black-Box Sessions zur empirischen Bestätigung des $\DBulk$-Prinzips. Die **Bulk-Dosis $\DBulk$** ist die therapeutische Energiemenge zur Wiederherstellung kausaler Kohärenz. Die Applikationsprotokolle stellen sicher, dass die $\DBulk$-Dosis nur das Zielvolumen erreicht.</w:t>
        <w:br w:type="textWrapping"/>
        <w:br w:type="textWrapping"/>
        <w:t xml:space="preserve">\section{Die kausale Bio-Resonanz-Spektralfunktion $\Somega$}</w:t>
        <w:br w:type="textWrapping"/>
        <w:t xml:space="preserve">Die **kausale Bio-Resonanz-Spektralfunktion $\Somega$** wird hergeleitet, um die $\DBulk$-Applikation exakt auf die pathologisch dephasierten Schwingungsmodi des Gewebes zu filtern. Nur die exakte Resonanzfrequenz ermöglicht die effektive kausale Reintegration ohne thermische oder kinetische Nebenwirkungen.</w:t>
        <w:br w:type="textWrapping"/>
        <w:br w:type="textWrapping"/>
        <w:t xml:space="preserve">\section{Exkurs: Kausale Bulk-Speicherung von Kriegsschall}</w:t>
        <w:br w:type="textWrapping"/>
        <w:t xml:space="preserve">Die \FKT erklärt, wie extreme Gewaltereignisse wie Kanonenschüsse des Amerikanischen Bürgerkriegs lokale kausale Lücken erzeugen. Die enorme, kurzzeitige kausale Inkonsistenz dieser Gewaltspitzen wird vom Bulk-Feld $\phi_{\bulk}$ **lokal absorbiert und gespeichert**, um die $\NKP$ im globalen Rahmen zu erfüllen. **Dieses Prinzip ist universell und gilt für alle Ereignisse extremer Dissipation, wie z.B. Atomexplosionen (Hiroshima), die eine maximale kausale Signatur (Schall, Hitze, Bewusstseinsentkopplung) im Bulk-Feld hinterlassen.** Unter spezifischen atmosphärischen und lokalen kausalen Bedingungen (z.B. maximale Entropie oder minimale externe kausale Störung) kann die gespeicherte kausale Signatur des Schusses wieder in den $R^4$-Raum entladen werden – hörbar als die berichteten „Geisterschüsse“. Dieser Mechanismus illustriert die speichernden Eigenschaften des Bulk-Feldes und eröffnet **Perspektiven für gezielte kausale Datenspeicherung und Ferndiagnose (Kausale Archäologie)**, indem wir lernen, die $\mathbf{T}_{\text{Bulk}}$-Signatur gezielt auszulesen.</w:t>
        <w:br w:type="textWrapping"/>
        <w:br w:type="textWrapping"/>
        <w:t xml:space="preserve">\chapter{Validierung und Regressionstests}</w:t>
        <w:br w:type="textWrapping"/>
        <w:t xml:space="preserve">\section{Validierung des $\DBulk$-Controllers ($\varepsilon &lt; 0.05\%$ Performance)}</w:t>
        <w:br w:type="textWrapping"/>
        <w:t xml:space="preserve">\section{Regressionstests der Systemstabilität}</w:t>
        <w:br w:type="textWrapping"/>
        <w:t xml:space="preserve">Die Closed-Loop-Regelung des MedBed-Prototypen wird validiert. Die empirischen Daten belegen die Zielvorgabe der minimalen stationären Abweichung $\varepsilon &lt; 0.05\,\si{\percent}$ für die applizierte $\DBulk$-Dosis. Umfangreiche Regressionstests stellen die Systemstabilität unter variierenden Umgebungsbedingungen (Temperatur, externe Felder) sicher.</w:t>
        <w:br w:type="textWrapping"/>
        <w:br w:type="textWrapping"/>
        <w:t xml:space="preserve">% ... [KAPITEL 11 bis 28 und ANHÄNGE bleiben unverändert] ...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