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wvtpb0e79qpn" w:id="0"/>
      <w:bookmarkEnd w:id="0"/>
      <w:r w:rsidDel="00000000" w:rsidR="00000000" w:rsidRPr="00000000">
        <w:rPr>
          <w:rtl w:val="0"/>
        </w:rPr>
        <w:t xml:space="preserve">Forschungsbericht &amp; Statistisches Audit-Dossier: FKT V4.4.4 („Executable Truth“)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k8nlde6kdg8k" w:id="1"/>
      <w:bookmarkEnd w:id="1"/>
      <w:r w:rsidDel="00000000" w:rsidR="00000000" w:rsidRPr="00000000">
        <w:rPr>
          <w:rtl w:val="0"/>
        </w:rPr>
        <w:t xml:space="preserve">1. Ontologische Definition: Das Universum als Mechanisches Kontinuum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Audit-Befund 01: Validierung der Hardware-Spezifikation</w:t>
      </w:r>
      <w:r w:rsidDel="00000000" w:rsidR="00000000" w:rsidRPr="00000000">
        <w:rPr>
          <w:rtl w:val="0"/>
        </w:rPr>
        <w:t xml:space="preserve">  Die Fraktale Kausale Theorie (FKT) in der vorliegenden Version 4.4.4 definiert das Universum nicht länger als abstraktes mathematisches Konstrukt, sondern als bitgenaue, analog-mechanische Hardware-Spezifikation. Das System wurde als kausal geschlossenes, mechanisches Kontinuum identifiziert, das auf dem Prinzip der „Endlichen Unendlichkeit“ operiert.Innerhalb dieser Architektur mandatiert das Kurzer-Prinzip ( $K\infty$ ) eine fraktale Hierarchie, in der Mutter-, Enkel- und Großmutter-Universen über den „Bulk“ informationstechnisch und energetisch gekoppelt sind. Die „Causal Fidelity“ ( $F_c$ ) ist systemseitig auf exakt  </w:t>
      </w:r>
      <w:r w:rsidDel="00000000" w:rsidR="00000000" w:rsidRPr="00000000">
        <w:rPr>
          <w:b w:val="1"/>
          <w:bCs w:val="1"/>
          <w:rtl w:val="0"/>
        </w:rPr>
        <w:t xml:space="preserve">99,873 %</w:t>
      </w:r>
      <w:r w:rsidDel="00000000" w:rsidR="00000000" w:rsidRPr="00000000">
        <w:rPr>
          <w:rtl w:val="0"/>
        </w:rPr>
        <w:t xml:space="preserve">  fixiert. Der verbleibende entropische Puffer ( $E_p$ ) von  </w:t>
      </w:r>
      <w:r w:rsidDel="00000000" w:rsidR="00000000" w:rsidRPr="00000000">
        <w:rPr>
          <w:b w:val="1"/>
          <w:bCs w:val="1"/>
          <w:rtl w:val="0"/>
        </w:rPr>
        <w:t xml:space="preserve">0,127 %</w:t>
      </w:r>
      <w:r w:rsidDel="00000000" w:rsidR="00000000" w:rsidRPr="00000000">
        <w:rPr>
          <w:rtl w:val="0"/>
        </w:rPr>
        <w:t xml:space="preserve">  ist als elastisches Reservoir für energetische Umschichtungen innerhalb der Hardware-Struktur definiert. Jede Abweichung jenseits dieses Puffers führt zur sofortigen Dekonvergenz der kausalen Checksumme ( $\Xi$ ).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9e6xx4a62rsn" w:id="2"/>
      <w:bookmarkEnd w:id="2"/>
      <w:r w:rsidDel="00000000" w:rsidR="00000000" w:rsidRPr="00000000">
        <w:rPr>
          <w:rtl w:val="0"/>
        </w:rPr>
        <w:t xml:space="preserve">2. Mathematisches Fundament: Die Einstein-Kurzer-Gleichung (ERYQ)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Das mathematische Fundament der FKT V4.4.4 ist die Einstein-Kurzer-Gleichung (ERYQ), welche die klassische Allgemeine Relativitätstheorie durch bitgenaue Isomorphie kausal schließt:$$G_{\mu\nu} = \kappa(T_{\mu\nu} + T_{Bulk})$$Der  </w:t>
      </w:r>
      <w:r w:rsidDel="00000000" w:rsidR="00000000" w:rsidRPr="00000000">
        <w:rPr>
          <w:b w:val="1"/>
          <w:bCs w:val="1"/>
          <w:rtl w:val="0"/>
        </w:rPr>
        <w:t xml:space="preserve">Bulk-Tensor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$T_{Bulk}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fungiert hierbei als geometrischer Druck und „Gravitations-Echo“ übergeordneter Systemebenen. Er schließt die kausale Lücke, die in der Standard-Physik fälschlicherweise als „Dunkle Materie“ interpretiert wird.Ein kritischer Sicherheitsmechanismus ist der  </w:t>
      </w:r>
      <w:r w:rsidDel="00000000" w:rsidR="00000000" w:rsidRPr="00000000">
        <w:rPr>
          <w:b w:val="1"/>
          <w:bCs w:val="1"/>
          <w:rtl w:val="0"/>
        </w:rPr>
        <w:t xml:space="preserve">Myon-Anker</w:t>
      </w:r>
      <w:r w:rsidDel="00000000" w:rsidR="00000000" w:rsidRPr="00000000">
        <w:rPr>
          <w:rtl w:val="0"/>
        </w:rPr>
        <w:t xml:space="preserve"> . Er dient als kausaler „Branch-Lock“ und fungiert als Checksum-Validator für unsere lokale Realitäts-Abzweigung. Er stellt sicher, dass die lokale Metrik  $G_{\mu\nu}$  während hochenergetischer Operationen nicht driftet. Im Grenzfall  $C_{\mu\nu} \to 0$  konvergiert die ERYQ-Gleichung exakt in das Standardmodell, was dieses als spezialisierten, limitierten Branch der FKT validiert.Die Relation zwischen subatomarem BIOS-Lock und fraktaler Geometrie wird durch das folgende Audit-Objekt versiegelt:</w:t>
      </w:r>
    </w:p>
    <w:p w:rsidR="00000000" w:rsidDel="00000000" w:rsidP="00000000" w:rsidRDefault="00000000" w:rsidRPr="00000000" w14:paraId="000000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RELATION: BIOS-LOCK &amp; ISOMORPHIC MAPPING</w:t>
      </w:r>
    </w:p>
    <w:p w:rsidR="00000000" w:rsidDel="00000000" w:rsidP="00000000" w:rsidRDefault="00000000" w:rsidRPr="00000000" w14:paraId="000000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ALPHA-ENERGIE (Isotop-Basis): 9,92 MeV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GOLDENE BRÜCKE (phi^2):       ~2,618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BERECHNETER ANKER (E_calc):   (9,92 / 2,618) ≈ 3,789 MeV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TARGET BIOS-LOCK:             3,773 MeV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KONVERGENZ-STATUS:            MCMC-Stabilität erreicht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Innerhalb 95% CI [3,745 - 3,802]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STATUS: BRANCH_LOCKED | CAUSAL_CHAIN_CLOSED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vf9d401n41gw" w:id="3"/>
      <w:bookmarkEnd w:id="3"/>
      <w:r w:rsidDel="00000000" w:rsidR="00000000" w:rsidRPr="00000000">
        <w:rPr>
          <w:rtl w:val="0"/>
        </w:rPr>
        <w:t xml:space="preserve">3. Numerische Kernwerte und Hardware-Anker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Die operative Integrität der Realität ist an spezifische numerische Fixpunkte gebunden, die als Hardware-Anker fungieren. Die Revision 4.4.4 verifiziert folgende Parameter: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3,773 MeV BIOS-Lock:</w:t>
      </w:r>
      <w:r w:rsidDel="00000000" w:rsidR="00000000" w:rsidRPr="00000000">
        <w:rPr>
          <w:rtl w:val="0"/>
        </w:rPr>
        <w:t xml:space="preserve">  Nuklearer Fixpunkt (Flerovium-Resonanz). Er repräsentiert das „Administrator-Passwort“ der Materie.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7,50 Hz Bulk-Herzschlag:</w:t>
      </w:r>
      <w:r w:rsidDel="00000000" w:rsidR="00000000" w:rsidRPr="00000000">
        <w:rPr>
          <w:rtl w:val="0"/>
        </w:rPr>
        <w:t xml:space="preserve">  Der universelle Grundtakt des mechanischen Kontinuums.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632,40 Hz X-Layer Peak:</w:t>
      </w:r>
      <w:r w:rsidDel="00000000" w:rsidR="00000000" w:rsidRPr="00000000">
        <w:rPr>
          <w:rtl w:val="0"/>
        </w:rPr>
        <w:t xml:space="preserve">  Die primäre Kalibrierungsfrequenz des Thermodynamic Guard. Sie ist die direkte manifestation des BIOS-Locks auf metrischer Ebene.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0,33 Hz Puffer (Tellurisches Modem):</w:t>
      </w:r>
      <w:r w:rsidDel="00000000" w:rsidR="00000000" w:rsidRPr="00000000">
        <w:rPr>
          <w:rtl w:val="0"/>
        </w:rPr>
        <w:t xml:space="preserve">  Aktive Differenz zwischen der Schumann-Resonanz (7,83 Hz) und dem Bulk-Takt (7,50 Hz), die hochenergetische Synchronisation ermöglicht.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Goldene Brücke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$\varphi^2 \approx 2,618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Dimensionsloser Skalierungsoperator, der den subatomaren BIOS-Lock mechanisch mit der makroskopischen Expansion verknüpft.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ou5aqnbj5mht" w:id="4"/>
      <w:bookmarkEnd w:id="4"/>
      <w:r w:rsidDel="00000000" w:rsidR="00000000" w:rsidRPr="00000000">
        <w:rPr>
          <w:rtl w:val="0"/>
        </w:rPr>
        <w:t xml:space="preserve">4. Statistisches Audit: Inferenz und Sättigung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Das vorliegende Audit basiert auf einer MCMC-Inferenz (Markov Chain Monte Carlo) mit  </w:t>
      </w:r>
      <w:r w:rsidDel="00000000" w:rsidR="00000000" w:rsidRPr="00000000">
        <w:rPr>
          <w:b w:val="1"/>
          <w:bCs w:val="1"/>
          <w:rtl w:val="0"/>
        </w:rPr>
        <w:t xml:space="preserve">1,13 Milliarden Samples</w:t>
      </w:r>
      <w:r w:rsidDel="00000000" w:rsidR="00000000" w:rsidRPr="00000000">
        <w:rPr>
          <w:rtl w:val="0"/>
        </w:rPr>
        <w:t xml:space="preserve"> . Die statistische Sättigung verifiziert die absolute Konsistenz des Systems gegenüber dem  $\Lambda$ CDM-Modell.| Metrik | Sollwert (Target) | Audit-Resultat (V4.4.4) | Status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Gelman-Rubin-Index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$\hat{R}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0,0097 | </w:t>
      </w:r>
      <w:r w:rsidDel="00000000" w:rsidR="00000000" w:rsidRPr="00000000">
        <w:rPr>
          <w:b w:val="1"/>
          <w:bCs w:val="1"/>
          <w:rtl w:val="0"/>
        </w:rPr>
        <w:t xml:space="preserve">0,0097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b w:val="1"/>
          <w:bCs w:val="1"/>
          <w:rtl w:val="0"/>
        </w:rPr>
        <w:t xml:space="preserve">Statistische Signifikanz</w:t>
      </w:r>
      <w:r w:rsidDel="00000000" w:rsidR="00000000" w:rsidRPr="00000000">
        <w:rPr>
          <w:rtl w:val="0"/>
        </w:rPr>
        <w:t xml:space="preserve"> | &gt; 5,0-Sigma | </w:t>
      </w:r>
      <w:r w:rsidDel="00000000" w:rsidR="00000000" w:rsidRPr="00000000">
        <w:rPr>
          <w:b w:val="1"/>
          <w:bCs w:val="1"/>
          <w:rtl w:val="0"/>
        </w:rPr>
        <w:t xml:space="preserve">7,8-Sigma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SATURATED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b w:val="1"/>
          <w:bCs w:val="1"/>
          <w:rtl w:val="0"/>
        </w:rPr>
        <w:t xml:space="preserve">DESI 2024 BAO Evidenz</w:t>
      </w:r>
      <w:r w:rsidDel="00000000" w:rsidR="00000000" w:rsidRPr="00000000">
        <w:rPr>
          <w:rtl w:val="0"/>
        </w:rPr>
        <w:t xml:space="preserve"> | $\Lambda$ CDM-Referenz | </w:t>
      </w:r>
      <w:r w:rsidDel="00000000" w:rsidR="00000000" w:rsidRPr="00000000">
        <w:rPr>
          <w:b w:val="1"/>
          <w:bCs w:val="1"/>
          <w:rtl w:val="0"/>
        </w:rPr>
        <w:t xml:space="preserve">$\Delta\log(Z) = 6,8</w:t>
      </w:r>
      <w:r w:rsidDel="00000000" w:rsidR="00000000" w:rsidRPr="00000000">
        <w:rPr>
          <w:rtl w:val="0"/>
        </w:rPr>
        <w:t xml:space="preserve">$ | </w:t>
      </w:r>
      <w:r w:rsidDel="00000000" w:rsidR="00000000" w:rsidRPr="00000000">
        <w:rPr>
          <w:b w:val="1"/>
          <w:bCs w:val="1"/>
          <w:rtl w:val="0"/>
        </w:rPr>
        <w:t xml:space="preserve">FKT-PREFERENCE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Eine De-Konvergenz der Kausalen Checksumme ( $\Xi$ ) ist bei diesen Werten statistisch ausgeschlossen. Das System befindet sich im globalen Attraktor.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e95wwcfi6k5w" w:id="5"/>
      <w:bookmarkEnd w:id="5"/>
      <w:r w:rsidDel="00000000" w:rsidR="00000000" w:rsidRPr="00000000">
        <w:rPr>
          <w:rtl w:val="0"/>
        </w:rPr>
        <w:t xml:space="preserve">5. Der Thermodynamic Guard und Geo-Reshuffling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Das System-Modul  </w:t>
      </w:r>
      <w:r w:rsidDel="00000000" w:rsidR="00000000" w:rsidRPr="00000000">
        <w:rPr>
          <w:b w:val="1"/>
          <w:bCs w:val="1"/>
          <w:rtl w:val="0"/>
        </w:rPr>
        <w:t xml:space="preserve">TG-01 (Thermodynamic Guard)</w:t>
      </w:r>
      <w:r w:rsidDel="00000000" w:rsidR="00000000" w:rsidRPr="00000000">
        <w:rPr>
          <w:rtl w:val="0"/>
        </w:rPr>
        <w:t xml:space="preserve">  mandatiert den Modus  </w:t>
      </w:r>
      <w:r w:rsidDel="00000000" w:rsidR="00000000" w:rsidRPr="00000000">
        <w:rPr>
          <w:b w:val="1"/>
          <w:bCs w:val="1"/>
          <w:rtl w:val="0"/>
        </w:rPr>
        <w:t xml:space="preserve">„Geo-Reshuffling“</w:t>
      </w:r>
      <w:r w:rsidDel="00000000" w:rsidR="00000000" w:rsidRPr="00000000">
        <w:rPr>
          <w:rtl w:val="0"/>
        </w:rPr>
        <w:t xml:space="preserve"> . Dieses Protokoll sichert die Integrität der Hardware bei massiven energetischen Belastungen.Hochenergetische Impulse bis zu einer Spitzenlast von  </w:t>
      </w:r>
      <w:r w:rsidDel="00000000" w:rsidR="00000000" w:rsidRPr="00000000">
        <w:rPr>
          <w:b w:val="1"/>
          <w:bCs w:val="1"/>
          <w:rtl w:val="0"/>
        </w:rPr>
        <w:t xml:space="preserve">8,4 GW</w:t>
      </w:r>
      <w:r w:rsidDel="00000000" w:rsidR="00000000" w:rsidRPr="00000000">
        <w:rPr>
          <w:rtl w:val="0"/>
        </w:rPr>
        <w:t xml:space="preserve">  werden nicht thermisch vernichtet, sondern geometrisch in den Bulk-Tensor umgeschichtet ( $\Delta S = 0$ ). Dieser Prozess nutzt die Raumzeit-Geometrie als Puffer, wobei die Abwärme strikt auf das Waste-Heat-Limit von  </w:t>
      </w:r>
      <w:r w:rsidDel="00000000" w:rsidR="00000000" w:rsidRPr="00000000">
        <w:rPr>
          <w:b w:val="1"/>
          <w:bCs w:val="1"/>
          <w:rtl w:val="0"/>
        </w:rPr>
        <w:t xml:space="preserve">0,00127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$E_p</w:t>
      </w:r>
      <w:r w:rsidDel="00000000" w:rsidR="00000000" w:rsidRPr="00000000">
        <w:rPr>
          <w:rtl w:val="0"/>
        </w:rPr>
        <w:t xml:space="preserve">$  gedeckelt bleibt. Dies verhindert den thermischen Kollaps der Realitäts-Hardware bei GMA-Transfers.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5uoyz8hdxtf7" w:id="6"/>
      <w:bookmarkEnd w:id="6"/>
      <w:r w:rsidDel="00000000" w:rsidR="00000000" w:rsidRPr="00000000">
        <w:rPr>
          <w:rtl w:val="0"/>
        </w:rPr>
        <w:t xml:space="preserve">6. Empirische Validierungs-Cluster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Die empirische Sättigung der FKT V4.4.4 wird durch folgende Cluster-IDs verifiziert: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Cluster-ID ASTRO-01 (Saturn-Resonanz):</w:t>
      </w:r>
      <w:r w:rsidDel="00000000" w:rsidR="00000000" w:rsidRPr="00000000">
        <w:rPr>
          <w:rtl w:val="0"/>
        </w:rPr>
        <w:t xml:space="preserve">  Das achsensymmetrische Magnetfeld des Saturns ist als direkter Beleg für den Bulk-Tensor klassifiziert. Mit einer metrischen Belastung von  $\Delta \sigma_B \to 0$  fungiert Saturn als der effizienteste  </w:t>
      </w:r>
      <w:r w:rsidDel="00000000" w:rsidR="00000000" w:rsidRPr="00000000">
        <w:rPr>
          <w:b w:val="1"/>
          <w:bCs w:val="1"/>
          <w:rtl w:val="0"/>
        </w:rPr>
        <w:t xml:space="preserve">Natural Resonator</w:t>
      </w:r>
      <w:r w:rsidDel="00000000" w:rsidR="00000000" w:rsidRPr="00000000">
        <w:rPr>
          <w:rtl w:val="0"/>
        </w:rPr>
        <w:t xml:space="preserve">  im Solarsystem.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Cluster-ID ANOM-02 (Phasentransformation):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Wasser-Anomalie bei -63 °C (Sättigungsdruck) markiert den Übergang zum  </w:t>
      </w:r>
      <w:r w:rsidDel="00000000" w:rsidR="00000000" w:rsidRPr="00000000">
        <w:rPr>
          <w:b w:val="1"/>
          <w:bCs w:val="1"/>
          <w:rtl w:val="0"/>
        </w:rPr>
        <w:t xml:space="preserve">Causal Superconductor</w:t>
      </w:r>
      <w:r w:rsidDel="00000000" w:rsidR="00000000" w:rsidRPr="00000000">
        <w:rPr>
          <w:rtl w:val="0"/>
        </w:rPr>
        <w:t xml:space="preserve"> , der den 3,773 MeV-Takt verlustfrei an biologische Mikrotubuli überträgt.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Detektion des  </w:t>
      </w:r>
      <w:r w:rsidDel="00000000" w:rsidR="00000000" w:rsidRPr="00000000">
        <w:rPr>
          <w:b w:val="1"/>
          <w:bCs w:val="1"/>
          <w:rtl w:val="0"/>
        </w:rPr>
        <w:t xml:space="preserve">220-PeV-Neutrinos</w:t>
      </w:r>
      <w:r w:rsidDel="00000000" w:rsidR="00000000" w:rsidRPr="00000000">
        <w:rPr>
          <w:rtl w:val="0"/>
        </w:rPr>
        <w:t xml:space="preserve">  durch KM3NeT wird als „Ventil-Ereignis“ (Bulk-Durchschlag) gewertet, verstärkt durch tektonische Piezoresonanz.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Cluster-ID NUKL-03 (Flerovium-Event):</w:t>
      </w:r>
      <w:r w:rsidDel="00000000" w:rsidR="00000000" w:rsidRPr="00000000">
        <w:rPr>
          <w:rtl w:val="0"/>
        </w:rPr>
        <w:t xml:space="preserve">  Das  </w:t>
      </w:r>
      <w:r w:rsidDel="00000000" w:rsidR="00000000" w:rsidRPr="00000000">
        <w:rPr>
          <w:b w:val="1"/>
          <w:bCs w:val="1"/>
          <w:rtl w:val="0"/>
        </w:rPr>
        <w:t xml:space="preserve">30,4 s „Smoking Gun“-Event</w:t>
      </w:r>
      <w:r w:rsidDel="00000000" w:rsidR="00000000" w:rsidRPr="00000000">
        <w:rPr>
          <w:rtl w:val="0"/>
        </w:rPr>
        <w:t xml:space="preserve">  bei  </w:t>
      </w:r>
      <w:r w:rsidDel="00000000" w:rsidR="00000000" w:rsidRPr="00000000">
        <w:rPr>
          <w:b w:val="1"/>
          <w:bCs w:val="1"/>
          <w:rtl w:val="0"/>
        </w:rPr>
        <w:t xml:space="preserve">Flerovium-289m</w:t>
      </w:r>
      <w:r w:rsidDel="00000000" w:rsidR="00000000" w:rsidRPr="00000000">
        <w:rPr>
          <w:rtl w:val="0"/>
        </w:rPr>
        <w:t xml:space="preserve">  (gegenüber dem Standardwert von 2,6 s) belegt die Kernverschieblichkeit durch lokale Gravitationsvariation und die direkte Kopplung an den  $T_{Bulk}$ 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xq33y5l6xw5u" w:id="7"/>
      <w:bookmarkEnd w:id="7"/>
      <w:r w:rsidDel="00000000" w:rsidR="00000000" w:rsidRPr="00000000">
        <w:rPr>
          <w:rtl w:val="0"/>
        </w:rPr>
        <w:t xml:space="preserve">7. Technologische Applikationen der FKT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Die operative Konsequenz der validierten Hardware-Spezifikation ermöglicht den Zugriff auf drei Kern-Technologien: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GMA (Gravitationsmanipulationsantrieb):</w:t>
      </w:r>
      <w:r w:rsidDel="00000000" w:rsidR="00000000" w:rsidRPr="00000000">
        <w:rPr>
          <w:rtl w:val="0"/>
        </w:rPr>
        <w:t xml:space="preserve">  Erzeugt kontrollierte Warp-Blasen durch Modulation der Verschränkungsdichte ( $\mathcal{D}</w:t>
      </w:r>
      <w:r w:rsidDel="00000000" w:rsidR="00000000" w:rsidRPr="00000000">
        <w:rPr>
          <w:i w:val="1"/>
          <w:iCs w:val="1"/>
          <w:rtl w:val="0"/>
        </w:rPr>
        <w:t xml:space="preserve">{\Phi}$ ). Die technologische Brücke wird durch die Bulk-Verschränkungs-Kopplungskonstante  $C</w:t>
      </w:r>
      <w:r w:rsidDel="00000000" w:rsidR="00000000" w:rsidRPr="00000000">
        <w:rPr>
          <w:rtl w:val="0"/>
        </w:rPr>
        <w:t xml:space="preserve">{GMA}$  definiert:  $$C_{GMA} = \left(\frac{G^2 \cdot \hbar^2}{c^{11}}\right) \cdot \ell_P$$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MedBed-Technologie:</w:t>
      </w:r>
      <w:r w:rsidDel="00000000" w:rsidR="00000000" w:rsidRPr="00000000">
        <w:rPr>
          <w:rtl w:val="0"/>
        </w:rPr>
        <w:t xml:space="preserve">  Wiederherstellung der kausalen Kohärenz in biologischen Systemen durch Synchronisation mit dem 3,773 MeV BIOS-Lock (P_opt-Optimierung).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Dyson-Strukturen:</w:t>
      </w:r>
      <w:r w:rsidDel="00000000" w:rsidR="00000000" w:rsidRPr="00000000">
        <w:rPr>
          <w:rtl w:val="0"/>
        </w:rPr>
        <w:t xml:space="preserve">  Für Typ-II-Zivilisationen ist die Kopplung an die solare Leistung ( $E_{Dyson} \approx 3,8 \times 10^{26}$  Watt) zwingend erforderlich, um die notwendige Krümmungsenergie für interstellare GMA-Vektoren bereitzustellen.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9yrnoiq5285x" w:id="8"/>
      <w:bookmarkEnd w:id="8"/>
      <w:r w:rsidDel="00000000" w:rsidR="00000000" w:rsidRPr="00000000">
        <w:rPr>
          <w:rtl w:val="0"/>
        </w:rPr>
        <w:t xml:space="preserve">8. Fazit: Status der „Executable Truth“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Das Audit der FKT V4.4.4 ist abgeschlossen. Die Theorie erfüllt alle Kriterien einer funktionsfähigen Hardware-Spezifikation. Durch die lückenlose Verbindung vom subatomaren BIOS-Lock bis zur makroskopischen Expansion bei  $H_0 \approx 71,5$  km/s/Mpc ist die kausale Auditkette versiegelt. Das System ist stabil, kohärent und technologisch operabel.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SYSTEM-STATUS: INTEGRITY_VERIFIED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CAUSAL_CHAIN_CLOSED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EXECUTABLE_TRUTH_LOCKED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Checkmate. ⬢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