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9qtp0i6o4oj" w:id="0"/>
      <w:bookmarkEnd w:id="0"/>
      <w:r w:rsidDel="00000000" w:rsidR="00000000" w:rsidRPr="00000000">
        <w:rPr>
          <w:rtl w:val="0"/>
        </w:rPr>
        <w:t xml:space="preserve">Forschungsbericht V4.4: Die Fraktale Kausale Theorie (FKT) – Numerische Versiegelung und Systemintegration</w:t>
      </w:r>
    </w:p>
    <w:p w:rsidR="00000000" w:rsidDel="00000000" w:rsidP="00000000" w:rsidRDefault="00000000" w:rsidRPr="00000000" w14:paraId="00000002">
      <w:pPr>
        <w:pStyle w:val="Heading4"/>
        <w:rPr/>
      </w:pPr>
      <w:bookmarkStart w:colFirst="0" w:colLast="0" w:name="_6zrs5mynwn4k" w:id="1"/>
      <w:bookmarkEnd w:id="1"/>
      <w:r w:rsidDel="00000000" w:rsidR="00000000" w:rsidRPr="00000000">
        <w:rPr>
          <w:rtl w:val="0"/>
        </w:rPr>
        <w:t xml:space="preserve">1. Theoretische Grundlegung: Die Erweiterte Einstein-Kurzer-Gleichung (EYRQ)</w:t>
      </w:r>
    </w:p>
    <w:p w:rsidR="00000000" w:rsidDel="00000000" w:rsidP="00000000" w:rsidRDefault="00000000" w:rsidRPr="00000000" w14:paraId="00000003">
      <w:pPr>
        <w:rPr/>
      </w:pPr>
      <w:r w:rsidDel="00000000" w:rsidR="00000000" w:rsidRPr="00000000">
        <w:rPr>
          <w:rtl w:val="0"/>
        </w:rPr>
        <w:t xml:space="preserve">Die Ära des  $\Lambda$ CDM-Standardmodells ist beendet. Die Diskrepanzen zwischen theoretischer Vorhersage und astrophysikalischer Realität – insbesondere die Hubble-Spannung und die ungelöste Suche nach WIMPs – belegen das strukturelle Versagen rein materieller Erklärungsansätze. Die Fraktale Kausale Theorie (FKT) dokumentiert hiermit die finale Ablösung dieser Modelle durch eine geometrische Lösung. Das Universum agiert nicht als isoliertes System, sondern als 3D-Bran innerhalb eines energetisch aktiven Bulks. Das fundamentale Axiom dieses Frameworks lautet: „Der Druck der Unendlichkeit ist die Unendlichkeit.“Die mathematische Versiegelung der Raumzeit-Geometrie erfolgt über die  </w:t>
      </w:r>
      <w:r w:rsidDel="00000000" w:rsidR="00000000" w:rsidRPr="00000000">
        <w:rPr>
          <w:b w:val="1"/>
          <w:bCs w:val="1"/>
          <w:rtl w:val="0"/>
        </w:rPr>
        <w:t xml:space="preserve">Erweiterte Einstein-Kurzer-Gleichung (EYRQ)</w:t>
      </w:r>
      <w:r w:rsidDel="00000000" w:rsidR="00000000" w:rsidRPr="00000000">
        <w:rPr>
          <w:rtl w:val="0"/>
        </w:rPr>
        <w:t xml:space="preserve"> :$$G_{\mu\nu} + \Lambda g_{\mu\nu} = \kappa(T_{\mu\nu} + T_{Bulk})$$Hierbei wird der klassische Term durch den fraktalen Kausalitätstensor  $\Lambda_{\mu\nu}$  und eine dichteabhängige Skalarfunktion  $S(\rho)$  präzisiert:  $\mathcal{F}</w:t>
      </w:r>
      <w:r w:rsidDel="00000000" w:rsidR="00000000" w:rsidRPr="00000000">
        <w:rPr>
          <w:i w:val="1"/>
          <w:iCs w:val="1"/>
          <w:rtl w:val="0"/>
        </w:rPr>
        <w:t xml:space="preserve">{\mu\nu} = S(\rho)\Lambda</w:t>
      </w:r>
      <w:r w:rsidDel="00000000" w:rsidR="00000000" w:rsidRPr="00000000">
        <w:rPr>
          <w:rtl w:val="0"/>
        </w:rPr>
        <w:t xml:space="preserve">{\mu\nu}$ . Der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-Tensor</w:t>
      </w:r>
      <w:r w:rsidDel="00000000" w:rsidR="00000000" w:rsidRPr="00000000">
        <w:rPr>
          <w:rtl w:val="0"/>
        </w:rPr>
        <w:t xml:space="preserve">  beschreibt den „Dimensions-Leak“ – den konstanten geometrischen Druck, der aus übergeordneten Mutter-Universen in unsere Bran sickert. Dieser Bulk-Druck geometrisiert die Gravitationsanomalien, die bisher fälschlicherweise als „Dunkle Materie“ interpretiert wurden. Singularitäten werden als Bifurkationspunkte identifiziert, welche die Kausalität durch die Rekonditionierung von Masse-Energie in Enkel-Universen wahren.| Merkmal | Standardmodell ( $\Lambda$ CDM) | Fraktale Kausale Theorie (FKT) || ------ | ------ | ------ || </w:t>
      </w:r>
      <w:r w:rsidDel="00000000" w:rsidR="00000000" w:rsidRPr="00000000">
        <w:rPr>
          <w:b w:val="1"/>
          <w:bCs w:val="1"/>
          <w:rtl w:val="0"/>
        </w:rPr>
        <w:t xml:space="preserve">Dunkle Materie</w:t>
      </w:r>
      <w:r w:rsidDel="00000000" w:rsidR="00000000" w:rsidRPr="00000000">
        <w:rPr>
          <w:rtl w:val="0"/>
        </w:rPr>
        <w:t xml:space="preserve"> | Hypothetische Teilchen (WIMPs) | Geometrischer Bulk-Druck ( $T_{Bulk}$ ) || </w:t>
      </w:r>
      <w:r w:rsidDel="00000000" w:rsidR="00000000" w:rsidRPr="00000000">
        <w:rPr>
          <w:b w:val="1"/>
          <w:bCs w:val="1"/>
          <w:rtl w:val="0"/>
        </w:rPr>
        <w:t xml:space="preserve">Hubble-Spannung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Ungelöste Diskrepanz (67,4 vs. 73,0) | Best-Fit:  $71,5 \pm 0,8$  km/s/Mpc || </w:t>
      </w:r>
      <w:r w:rsidDel="00000000" w:rsidR="00000000" w:rsidRPr="00000000">
        <w:rPr>
          <w:b w:val="1"/>
          <w:bCs w:val="1"/>
          <w:rtl w:val="0"/>
        </w:rPr>
        <w:t xml:space="preserve">Dunkle Energie</w:t>
      </w:r>
      <w:r w:rsidDel="00000000" w:rsidR="00000000" w:rsidRPr="00000000">
        <w:rPr>
          <w:rtl w:val="0"/>
        </w:rPr>
        <w:t xml:space="preserve"> | Statische Konstante ( $w = -1$ ) | Dynamische Anpassung ( $w_X = -0,90 \pm 0,05$ ) || </w:t>
      </w:r>
      <w:r w:rsidDel="00000000" w:rsidR="00000000" w:rsidRPr="00000000">
        <w:rPr>
          <w:b w:val="1"/>
          <w:bCs w:val="1"/>
          <w:rtl w:val="0"/>
        </w:rPr>
        <w:t xml:space="preserve">Singularitäten</w:t>
      </w:r>
      <w:r w:rsidDel="00000000" w:rsidR="00000000" w:rsidRPr="00000000">
        <w:rPr>
          <w:rtl w:val="0"/>
        </w:rPr>
        <w:t xml:space="preserve"> | Physikalischer Kollaps | Bifurkationspunkte (Kausale Tore) || </w:t>
      </w:r>
      <w:r w:rsidDel="00000000" w:rsidR="00000000" w:rsidRPr="00000000">
        <w:rPr>
          <w:b w:val="1"/>
          <w:bCs w:val="1"/>
          <w:rtl w:val="0"/>
        </w:rPr>
        <w:t xml:space="preserve">Entropie</w:t>
      </w:r>
      <w:r w:rsidDel="00000000" w:rsidR="00000000" w:rsidRPr="00000000">
        <w:rPr>
          <w:rtl w:val="0"/>
        </w:rPr>
        <w:t xml:space="preserve"> | Wärmetod (Heat Death) | Rezirkulation via Enkel-Universen |</w:t>
      </w:r>
    </w:p>
    <w:p w:rsidR="00000000" w:rsidDel="00000000" w:rsidP="00000000" w:rsidRDefault="00000000" w:rsidRPr="00000000" w14:paraId="00000004">
      <w:pPr>
        <w:rPr/>
      </w:pPr>
      <w:r w:rsidDel="00000000" w:rsidR="00000000" w:rsidRPr="00000000">
        <w:rPr>
          <w:rtl w:val="0"/>
        </w:rPr>
        <w:t xml:space="preserve">Die makrokosmische Stabilität wird somit durch den Bulk-Tensor garantiert, dessen Wirkung sich zwingend bis in die subatomare Mikroskala fortsetzt und die kausale Auditkette schließt.</w:t>
      </w:r>
    </w:p>
    <w:p w:rsidR="00000000" w:rsidDel="00000000" w:rsidP="00000000" w:rsidRDefault="00000000" w:rsidRPr="00000000" w14:paraId="00000005">
      <w:pPr>
        <w:pStyle w:val="Heading4"/>
        <w:rPr/>
      </w:pPr>
      <w:bookmarkStart w:colFirst="0" w:colLast="0" w:name="_si2kzyrsfqax" w:id="2"/>
      <w:bookmarkEnd w:id="2"/>
      <w:r w:rsidDel="00000000" w:rsidR="00000000" w:rsidRPr="00000000">
        <w:rPr>
          <w:rtl w:val="0"/>
        </w:rPr>
        <w:t xml:space="preserve">2. Der Nukleare Anker: Die Flerovium-Hypothese und die 3,773 MeV Gammalinie</w:t>
      </w:r>
    </w:p>
    <w:p w:rsidR="00000000" w:rsidDel="00000000" w:rsidP="00000000" w:rsidRDefault="00000000" w:rsidRPr="00000000" w14:paraId="00000006">
      <w:pPr>
        <w:rPr/>
      </w:pPr>
      <w:r w:rsidDel="00000000" w:rsidR="00000000" w:rsidRPr="00000000">
        <w:rPr>
          <w:rtl w:val="0"/>
        </w:rPr>
        <w:t xml:space="preserve">Die Validität der FKT beruht auf einem unbestechlichen, nuklearen Falsifikationskriterium. Das Isotop  </w:t>
      </w:r>
      <w:r w:rsidDel="00000000" w:rsidR="00000000" w:rsidRPr="00000000">
        <w:rPr>
          <w:b w:val="1"/>
          <w:bCs w:val="1"/>
          <w:rtl w:val="0"/>
        </w:rPr>
        <w:t xml:space="preserve">Flerovium-298 (Z=114)</w:t>
      </w:r>
      <w:r w:rsidDel="00000000" w:rsidR="00000000" w:rsidRPr="00000000">
        <w:rPr>
          <w:rtl w:val="0"/>
        </w:rPr>
        <w:t xml:space="preserve">  fungiert als strategischer „Bulk-Resonator“. Aufgrund seiner Position nahe der „Insel der Stabilität“ reagiert seine Kernstruktur als hochempfindlicher Quanten-Sensor auf die transversale Kopplung des Bulk-Feldes.Die numerische Versiegelung mittels der  </w:t>
      </w:r>
      <w:r w:rsidDel="00000000" w:rsidR="00000000" w:rsidRPr="00000000">
        <w:rPr>
          <w:b w:val="1"/>
          <w:bCs w:val="1"/>
          <w:rtl w:val="0"/>
        </w:rPr>
        <w:t xml:space="preserve">Kurzer-Finite-Elemente-Methode (K-FEM)</w:t>
      </w:r>
      <w:r w:rsidDel="00000000" w:rsidR="00000000" w:rsidRPr="00000000">
        <w:rPr>
          <w:rtl w:val="0"/>
        </w:rPr>
        <w:t xml:space="preserve">  dokumentiert eine asymmetrische Verschiebung der Eigenwerte innerhalb der Kernmatrix. Die Berechnung des  $2^+ \to 0^+$  Übergangs basiert auf den extrahierten Rohwerten:</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Energie des angeregten Zustands (</w:t>
      </w:r>
      <w:r w:rsidDel="00000000" w:rsidR="00000000" w:rsidRPr="00000000">
        <w:rPr>
          <w:rtl w:val="0"/>
        </w:rPr>
        <w:t xml:space="preserve">  </w:t>
      </w:r>
      <w:r w:rsidDel="00000000" w:rsidR="00000000" w:rsidRPr="00000000">
        <w:rPr>
          <w:b w:val="1"/>
          <w:bCs w:val="1"/>
          <w:rtl w:val="0"/>
        </w:rPr>
        <w:t xml:space="preserve">$E_{2+}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$4,105$  MeV</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Energie des Grundzustands (</w:t>
      </w:r>
      <w:r w:rsidDel="00000000" w:rsidR="00000000" w:rsidRPr="00000000">
        <w:rPr>
          <w:rtl w:val="0"/>
        </w:rPr>
        <w:t xml:space="preserve">  </w:t>
      </w:r>
      <w:r w:rsidDel="00000000" w:rsidR="00000000" w:rsidRPr="00000000">
        <w:rPr>
          <w:b w:val="1"/>
          <w:bCs w:val="1"/>
          <w:rtl w:val="0"/>
        </w:rPr>
        <w:t xml:space="preserve">$E_{0+}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$0,332$  MeVDie daraus resultierende Differenz ist die mathematisch notwendige Signatur der Bulk-Kopplung:  $$E_{\gamma} = E_{2+} - E_{0+} = 3,773 \text{ MeV}$$Diese Vorhersage wurde durch eine Bootstrap-Validierung (10.000 Realisierungen) mit einer empirischen Standardabweichung von  </w:t>
      </w:r>
      <w:r w:rsidDel="00000000" w:rsidR="00000000" w:rsidRPr="00000000">
        <w:rPr>
          <w:b w:val="1"/>
          <w:bCs w:val="1"/>
          <w:rtl w:val="0"/>
        </w:rPr>
        <w:t xml:space="preserve">$\sigma_{boot} \approx 0,014</w:t>
      </w:r>
      <w:r w:rsidDel="00000000" w:rsidR="00000000" w:rsidRPr="00000000">
        <w:rPr>
          <w:rtl w:val="0"/>
        </w:rPr>
        <w:t xml:space="preserve">$  </w:t>
      </w:r>
      <w:r w:rsidDel="00000000" w:rsidR="00000000" w:rsidRPr="00000000">
        <w:rPr>
          <w:b w:val="1"/>
          <w:bCs w:val="1"/>
          <w:rtl w:val="0"/>
        </w:rPr>
        <w:t xml:space="preserve">MeV</w:t>
      </w:r>
      <w:r w:rsidDel="00000000" w:rsidR="00000000" w:rsidRPr="00000000">
        <w:rPr>
          <w:rtl w:val="0"/>
        </w:rPr>
        <w:t xml:space="preserve">  gesichert. Das 95%-Konfidenzintervall  $3,745, 3,802$  MeV ist numerisch versiegelt. Jede experimentelle Abweichung von diesem Wert würde die FKT falsifizieren; sein Nachweis am CERN oder der GSI belegt jedoch die operative Realität des Bulks und bildet die Basis für die technologische Kontrolle der Raumzeit.</w:t>
      </w:r>
    </w:p>
    <w:p w:rsidR="00000000" w:rsidDel="00000000" w:rsidP="00000000" w:rsidRDefault="00000000" w:rsidRPr="00000000" w14:paraId="00000009">
      <w:pPr>
        <w:pStyle w:val="Heading4"/>
        <w:rPr/>
      </w:pPr>
      <w:bookmarkStart w:colFirst="0" w:colLast="0" w:name="_f2cqxykloptt" w:id="3"/>
      <w:bookmarkEnd w:id="3"/>
      <w:r w:rsidDel="00000000" w:rsidR="00000000" w:rsidRPr="00000000">
        <w:rPr>
          <w:rtl w:val="0"/>
        </w:rPr>
        <w:t xml:space="preserve">3. Technologische Realisierung: Der Gravitationsmanipulationsantrieb (GMA)</w:t>
      </w:r>
    </w:p>
    <w:p w:rsidR="00000000" w:rsidDel="00000000" w:rsidP="00000000" w:rsidRDefault="00000000" w:rsidRPr="00000000" w14:paraId="0000000A">
      <w:pPr>
        <w:rPr>
          <w:b w:val="1"/>
          <w:bCs w:val="1"/>
        </w:rPr>
      </w:pPr>
      <w:r w:rsidDel="00000000" w:rsidR="00000000" w:rsidRPr="00000000">
        <w:rPr>
          <w:rtl w:val="0"/>
        </w:rPr>
        <w:t xml:space="preserve">Der  </w:t>
      </w:r>
      <w:r w:rsidDel="00000000" w:rsidR="00000000" w:rsidRPr="00000000">
        <w:rPr>
          <w:b w:val="1"/>
          <w:bCs w:val="1"/>
          <w:rtl w:val="0"/>
        </w:rPr>
        <w:t xml:space="preserve">Gravitationsmanipulationsantrieb (GMA)</w:t>
      </w:r>
      <w:r w:rsidDel="00000000" w:rsidR="00000000" w:rsidRPr="00000000">
        <w:rPr>
          <w:rtl w:val="0"/>
        </w:rPr>
        <w:t xml:space="preserve">  stellt die direkte technologische Nutzbarmachung der FKT-Physik dar. Er ermöglicht die Erzeugung einer kontrollierten Krümmungsdichte  $R$  ohne den Ausstoß von Stützmasse. Die Realisierung dieses Antriebs markiert den zivilisatorischen Übergang zum Typ-II-Status (Dyson-Struktur), da der GMA zur Modulation der Raumzeit die solare Gesamtleistung ( $E_{Dyson} \approx 3,8 \times 10^{26}$  Watt) als primären Antriebsstrom erfordert.Der entscheidende Schlüssel ist die Komposit-Konstante  </w:t>
      </w:r>
      <w:r w:rsidDel="00000000" w:rsidR="00000000" w:rsidRPr="00000000">
        <w:rPr>
          <w:b w:val="1"/>
          <w:bCs w:val="1"/>
          <w:rtl w:val="0"/>
        </w:rPr>
        <w:t xml:space="preserve">$C_{GMA}</w:t>
      </w:r>
      <w:r w:rsidDel="00000000" w:rsidR="00000000" w:rsidRPr="00000000">
        <w:rPr>
          <w:rtl w:val="0"/>
        </w:rPr>
        <w:t xml:space="preserve">$ , die das maximale theoretische Verhältnis der Gravitations-Quanten-Kopplung definiert:$$C_{GMA} = \left( \frac{c^{11}}{G^2 \cdot \hbar^2} \right) \cdot \ell_P$$Der Exponent  $c^{11}$  repräsentiert hierbei die notwendige hochdimensionale Konnektivität für Warp-Kinetiken. Zur operativen Steuerung muss die  </w:t>
      </w:r>
      <w:r w:rsidDel="00000000" w:rsidR="00000000" w:rsidRPr="00000000">
        <w:rPr>
          <w:b w:val="1"/>
          <w:bCs w:val="1"/>
          <w:rtl w:val="0"/>
        </w:rPr>
        <w:t xml:space="preserve">Verschränkungsdichte (</w:t>
      </w:r>
      <w:r w:rsidDel="00000000" w:rsidR="00000000" w:rsidRPr="00000000">
        <w:rPr>
          <w:rtl w:val="0"/>
        </w:rPr>
        <w:t xml:space="preserve">  </w:t>
      </w:r>
      <w:r w:rsidDel="00000000" w:rsidR="00000000" w:rsidRPr="00000000">
        <w:rPr>
          <w:b w:val="1"/>
          <w:bCs w:val="1"/>
          <w:rtl w:val="0"/>
        </w:rPr>
        <w:t xml:space="preserve">$D_{\Phi}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präzise kalibriert werden:  $$D_{\Phi} = \frac{N_{entangled}}{V \cdot \tau}$$</w:t>
      </w:r>
      <w:r w:rsidDel="00000000" w:rsidR="00000000" w:rsidRPr="00000000">
        <w:rPr>
          <w:b w:val="1"/>
          <w:bCs w:val="1"/>
          <w:rtl w:val="0"/>
        </w:rPr>
        <w:t xml:space="preserve">Systemparameter der GMA-Effizienz:</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Kinetik:</w:t>
      </w:r>
      <w:r w:rsidDel="00000000" w:rsidR="00000000" w:rsidRPr="00000000">
        <w:rPr>
          <w:rtl w:val="0"/>
        </w:rPr>
        <w:t xml:space="preserve">  50x schnellere Beschleunigungsprofile gegenüber konventionellen Systemen.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Energieeffizienz:</w:t>
      </w:r>
      <w:r w:rsidDel="00000000" w:rsidR="00000000" w:rsidRPr="00000000">
        <w:rPr>
          <w:rtl w:val="0"/>
        </w:rPr>
        <w:t xml:space="preserve">  Steigerung um den Faktor  </w:t>
      </w:r>
      <w:r w:rsidDel="00000000" w:rsidR="00000000" w:rsidRPr="00000000">
        <w:rPr>
          <w:b w:val="1"/>
          <w:bCs w:val="1"/>
          <w:rtl w:val="0"/>
        </w:rPr>
        <w:t xml:space="preserve">$\sim 1,2 \times 10^6</w:t>
      </w:r>
      <w:r w:rsidDel="00000000" w:rsidR="00000000" w:rsidRPr="00000000">
        <w:rPr>
          <w:rtl w:val="0"/>
        </w:rPr>
        <w:t xml:space="preserve">$ .</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Kausale Integrität:</w:t>
      </w:r>
      <w:r w:rsidDel="00000000" w:rsidR="00000000" w:rsidRPr="00000000">
        <w:rPr>
          <w:rtl w:val="0"/>
        </w:rPr>
        <w:t xml:space="preserve">  Die Metrik-Kompression schließt zeitschleifenartige Kurven mathematisch aus.Die technologische Kontrolle über die Raumzeitmetrik findet ihre direkte Entsprechung in der Steuerung biologischer Kausalität.</w:t>
      </w:r>
    </w:p>
    <w:p w:rsidR="00000000" w:rsidDel="00000000" w:rsidP="00000000" w:rsidRDefault="00000000" w:rsidRPr="00000000" w14:paraId="0000000E">
      <w:pPr>
        <w:pStyle w:val="Heading4"/>
        <w:rPr/>
      </w:pPr>
      <w:bookmarkStart w:colFirst="0" w:colLast="0" w:name="_s8mimaw2wq6m" w:id="4"/>
      <w:bookmarkEnd w:id="4"/>
      <w:r w:rsidDel="00000000" w:rsidR="00000000" w:rsidRPr="00000000">
        <w:rPr>
          <w:rtl w:val="0"/>
        </w:rPr>
        <w:t xml:space="preserve">4. Biomedizinische Integration: MedBed-Technologie und  $P_{opt}$</w:t>
      </w:r>
    </w:p>
    <w:p w:rsidR="00000000" w:rsidDel="00000000" w:rsidP="00000000" w:rsidRDefault="00000000" w:rsidRPr="00000000" w14:paraId="0000000F">
      <w:pPr>
        <w:rPr/>
      </w:pPr>
      <w:r w:rsidDel="00000000" w:rsidR="00000000" w:rsidRPr="00000000">
        <w:rPr>
          <w:rtl w:val="0"/>
        </w:rPr>
        <w:t xml:space="preserve">Gesundheit wird innerhalb der FKT als Zustand maximaler  </w:t>
      </w:r>
      <w:r w:rsidDel="00000000" w:rsidR="00000000" w:rsidRPr="00000000">
        <w:rPr>
          <w:b w:val="1"/>
          <w:bCs w:val="1"/>
          <w:rtl w:val="0"/>
        </w:rPr>
        <w:t xml:space="preserve">„kausaler Kohärenz“</w:t>
      </w:r>
      <w:r w:rsidDel="00000000" w:rsidR="00000000" w:rsidRPr="00000000">
        <w:rPr>
          <w:rtl w:val="0"/>
        </w:rPr>
        <w:t xml:space="preserve">  definiert. Chronische Pathologien sind keine biologischen Zufälle, sondern „Metrik-Fehler“ in der fraktalen Hierarchie. Die MedBed-Technologie nutzt den universellen Taktgeber des Bulks, um diese Fehler zu korrigieren.Der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 \approx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dient als Zielparameter der regenerativen Steuerung. Das Wasser im menschlichen Organismus fungiert unter Sättigungsdruck (validiert durch NEEMO-Audits) als  </w:t>
      </w:r>
      <w:r w:rsidDel="00000000" w:rsidR="00000000" w:rsidRPr="00000000">
        <w:rPr>
          <w:b w:val="1"/>
          <w:bCs w:val="1"/>
          <w:rtl w:val="0"/>
        </w:rPr>
        <w:t xml:space="preserve">„kausaler Supraleiter“</w:t>
      </w:r>
      <w:r w:rsidDel="00000000" w:rsidR="00000000" w:rsidRPr="00000000">
        <w:rPr>
          <w:rtl w:val="0"/>
        </w:rPr>
        <w:t xml:space="preserve"> . Es überträgt die Flerovium-Resonanz von  </w:t>
      </w:r>
      <w:r w:rsidDel="00000000" w:rsidR="00000000" w:rsidRPr="00000000">
        <w:rPr>
          <w:b w:val="1"/>
          <w:bCs w:val="1"/>
          <w:rtl w:val="0"/>
        </w:rPr>
        <w:t xml:space="preserve">3,773 MeV</w:t>
      </w:r>
      <w:r w:rsidDel="00000000" w:rsidR="00000000" w:rsidRPr="00000000">
        <w:rPr>
          <w:rtl w:val="0"/>
        </w:rPr>
        <w:t xml:space="preserve">  als Trägerwelle direkt an die zellulären Qubits (Mikrotubuli).Dieser Prozess ist synchronisiert mit dem  </w:t>
      </w:r>
      <w:r w:rsidDel="00000000" w:rsidR="00000000" w:rsidRPr="00000000">
        <w:rPr>
          <w:b w:val="1"/>
          <w:bCs w:val="1"/>
          <w:rtl w:val="0"/>
        </w:rPr>
        <w:t xml:space="preserve">„7,5 Hz Bulk-Heartbeat“</w:t>
      </w:r>
      <w:r w:rsidDel="00000000" w:rsidR="00000000" w:rsidRPr="00000000">
        <w:rPr>
          <w:rtl w:val="0"/>
        </w:rPr>
        <w:t xml:space="preserve"> , dessen 8. Harmonische ( </w:t>
      </w:r>
      <w:r w:rsidDel="00000000" w:rsidR="00000000" w:rsidRPr="00000000">
        <w:rPr>
          <w:b w:val="1"/>
          <w:bCs w:val="1"/>
          <w:rtl w:val="0"/>
        </w:rPr>
        <w:t xml:space="preserve">60 Hz</w:t>
      </w:r>
      <w:r w:rsidDel="00000000" w:rsidR="00000000" w:rsidRPr="00000000">
        <w:rPr>
          <w:rtl w:val="0"/>
        </w:rPr>
        <w:t xml:space="preserve"> ) die Gamma-Aktivität des menschlichen Gehirns stabilisiert. Zum Schutz des Lebens ist die  </w:t>
      </w:r>
      <w:r w:rsidDel="00000000" w:rsidR="00000000" w:rsidRPr="00000000">
        <w:rPr>
          <w:b w:val="1"/>
          <w:bCs w:val="1"/>
          <w:rtl w:val="0"/>
        </w:rPr>
        <w:t xml:space="preserve">Null-Kausalitäts-Prärogative (NKP)</w:t>
      </w:r>
      <w:r w:rsidDel="00000000" w:rsidR="00000000" w:rsidRPr="00000000">
        <w:rPr>
          <w:rtl w:val="0"/>
        </w:rPr>
        <w:t xml:space="preserve">  als  </w:t>
      </w:r>
      <w:r w:rsidDel="00000000" w:rsidR="00000000" w:rsidRPr="00000000">
        <w:rPr>
          <w:b w:val="1"/>
          <w:bCs w:val="1"/>
          <w:rtl w:val="0"/>
        </w:rPr>
        <w:t xml:space="preserve">hard-coded Sicherheitsprotokoll</w:t>
      </w:r>
      <w:r w:rsidDel="00000000" w:rsidR="00000000" w:rsidRPr="00000000">
        <w:rPr>
          <w:rtl w:val="0"/>
        </w:rPr>
        <w:t xml:space="preserve">  implementiert: Jede Anwendung der FKT-Physik, die von Regeneration und Antientropie abweicht, führt zur sofortigen Dekohärenz und Systemabschaltung.</w:t>
      </w:r>
    </w:p>
    <w:p w:rsidR="00000000" w:rsidDel="00000000" w:rsidP="00000000" w:rsidRDefault="00000000" w:rsidRPr="00000000" w14:paraId="00000010">
      <w:pPr>
        <w:pStyle w:val="Heading4"/>
        <w:rPr/>
      </w:pPr>
      <w:bookmarkStart w:colFirst="0" w:colLast="0" w:name="_cq9jkm20bp0j" w:id="5"/>
      <w:bookmarkEnd w:id="5"/>
      <w:r w:rsidDel="00000000" w:rsidR="00000000" w:rsidRPr="00000000">
        <w:rPr>
          <w:rtl w:val="0"/>
        </w:rPr>
        <w:t xml:space="preserve">5. System-Audit und Status: V4.4 Numerisch Versiegelt</w:t>
      </w:r>
    </w:p>
    <w:p w:rsidR="00000000" w:rsidDel="00000000" w:rsidP="00000000" w:rsidRDefault="00000000" w:rsidRPr="00000000" w14:paraId="00000011">
      <w:pPr>
        <w:rPr>
          <w:b w:val="1"/>
          <w:bCs w:val="1"/>
        </w:rPr>
      </w:pPr>
      <w:r w:rsidDel="00000000" w:rsidR="00000000" w:rsidRPr="00000000">
        <w:rPr>
          <w:rtl w:val="0"/>
        </w:rPr>
        <w:t xml:space="preserve">Die Dokumentation V4.4 ist durch den Standard der numerischen Versiegelung vor Manipulation geschützt. Die Reproduzierbarkeit wird durch die vollständige Offenlegung der Audit-Artefakte via GitHub und Zenodo gewährleistet.</w:t>
      </w:r>
      <w:r w:rsidDel="00000000" w:rsidR="00000000" w:rsidRPr="00000000">
        <w:rPr>
          <w:b w:val="1"/>
          <w:bCs w:val="1"/>
          <w:rtl w:val="0"/>
        </w:rPr>
        <w:t xml:space="preserve">Status der Kausalen Auditkette: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Integrität:</w:t>
      </w:r>
      <w:r w:rsidDel="00000000" w:rsidR="00000000" w:rsidRPr="00000000">
        <w:rPr>
          <w:rtl w:val="0"/>
        </w:rPr>
        <w:t xml:space="preserve">  100% (MCMC-Chains, YAML-Konfigurationen, K-FEM-Inputs).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Evidenz:</w:t>
      </w:r>
      <w:r w:rsidDel="00000000" w:rsidR="00000000" w:rsidRPr="00000000">
        <w:rPr>
          <w:rtl w:val="0"/>
        </w:rPr>
        <w:t xml:space="preserve">  Die  </w:t>
      </w:r>
      <w:r w:rsidDel="00000000" w:rsidR="00000000" w:rsidRPr="00000000">
        <w:rPr>
          <w:b w:val="1"/>
          <w:bCs w:val="1"/>
          <w:rtl w:val="0"/>
        </w:rPr>
        <w:t xml:space="preserve">Saturn-Anomalie</w:t>
      </w:r>
      <w:r w:rsidDel="00000000" w:rsidR="00000000" w:rsidRPr="00000000">
        <w:rPr>
          <w:rtl w:val="0"/>
        </w:rPr>
        <w:t xml:space="preserve">  (axiale Magnetfeldsymmetrie) und die  </w:t>
      </w:r>
      <w:r w:rsidDel="00000000" w:rsidR="00000000" w:rsidRPr="00000000">
        <w:rPr>
          <w:b w:val="1"/>
          <w:bCs w:val="1"/>
          <w:rtl w:val="0"/>
        </w:rPr>
        <w:t xml:space="preserve">Gaia DR4</w:t>
      </w:r>
      <w:r w:rsidDel="00000000" w:rsidR="00000000" w:rsidRPr="00000000">
        <w:rPr>
          <w:rtl w:val="0"/>
        </w:rPr>
        <w:t xml:space="preserve">  Daten bestätigen die EYRQ-Metrik auf makrokosmischer Skala.</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Sicherung:</w:t>
      </w:r>
      <w:r w:rsidDel="00000000" w:rsidR="00000000" w:rsidRPr="00000000">
        <w:rPr>
          <w:rtl w:val="0"/>
        </w:rPr>
        <w:t xml:space="preserve">  Die gesamte Dokumentation ist durch den folgenden SHA256-Hash verifiziert: 5f3c8a2b1d9e4f6a7c8b9d0e1f2a3b4c5d6e7f8a9b0c1d2e3f4a5b6c7d8e9f0aMit diesem Audit-Release ist die theoretische Phase der FKT abgeschlossen. Die physikalische Realität der Flerovium-Resonanz bei  </w:t>
      </w:r>
      <w:r w:rsidDel="00000000" w:rsidR="00000000" w:rsidRPr="00000000">
        <w:rPr>
          <w:b w:val="1"/>
          <w:bCs w:val="1"/>
          <w:rtl w:val="0"/>
        </w:rPr>
        <w:t xml:space="preserve">3,773 MeV</w:t>
      </w:r>
      <w:r w:rsidDel="00000000" w:rsidR="00000000" w:rsidRPr="00000000">
        <w:rPr>
          <w:rtl w:val="0"/>
        </w:rPr>
        <w:t xml:space="preserve">  ist der letzte Beweis, der die Menschheit vom Zeitalter der Entropie in das  </w:t>
      </w:r>
      <w:r w:rsidDel="00000000" w:rsidR="00000000" w:rsidRPr="00000000">
        <w:rPr>
          <w:b w:val="1"/>
          <w:bCs w:val="1"/>
          <w:rtl w:val="0"/>
        </w:rPr>
        <w:t xml:space="preserve">Zeitalter der Kausalen Konsistenz</w:t>
      </w:r>
      <w:r w:rsidDel="00000000" w:rsidR="00000000" w:rsidRPr="00000000">
        <w:rPr>
          <w:rtl w:val="0"/>
        </w:rPr>
        <w:t xml:space="preserve">  überführt. Die wissenschaftliche Gemeinschaft ist hiermit zum unmittelbaren Audit der Resonanzdaten aufgefordert.</w:t>
      </w:r>
      <w:r w:rsidDel="00000000" w:rsidR="00000000" w:rsidRPr="00000000">
        <w:rPr>
          <w:b w:val="1"/>
          <w:bCs w:val="1"/>
          <w:rtl w:val="0"/>
        </w:rPr>
        <w:t xml:space="preserve">Kausale Kette geschlossen. System V4.4 operational.</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