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2xv7uor2jhh" w:id="0"/>
      <w:bookmarkEnd w:id="0"/>
      <w:r w:rsidDel="00000000" w:rsidR="00000000" w:rsidRPr="00000000">
        <w:rPr>
          <w:rtl w:val="0"/>
        </w:rPr>
        <w:t xml:space="preserve">Forschungsbericht zur Fraktalen Kausalen Theorie (FKT) – Version 4.4.4: Der Thermodynamic Guard und die Geometrisierung der Kausalität</w:t>
      </w:r>
    </w:p>
    <w:p w:rsidR="00000000" w:rsidDel="00000000" w:rsidP="00000000" w:rsidRDefault="00000000" w:rsidRPr="00000000" w14:paraId="00000002">
      <w:pPr>
        <w:pStyle w:val="Heading4"/>
        <w:rPr/>
      </w:pPr>
      <w:bookmarkStart w:colFirst="0" w:colLast="0" w:name="_hsf2pqbbtn4b" w:id="1"/>
      <w:bookmarkEnd w:id="1"/>
      <w:r w:rsidDel="00000000" w:rsidR="00000000" w:rsidRPr="00000000">
        <w:rPr>
          <w:rtl w:val="0"/>
        </w:rPr>
        <w:t xml:space="preserve">1. Einleitung: Paradigmenwechsel der physikalischen Realität</w:t>
      </w:r>
    </w:p>
    <w:p w:rsidR="00000000" w:rsidDel="00000000" w:rsidP="00000000" w:rsidRDefault="00000000" w:rsidRPr="00000000" w14:paraId="00000003">
      <w:pPr>
        <w:rPr>
          <w:b w:val="1"/>
          <w:bCs w:val="1"/>
        </w:rPr>
      </w:pPr>
      <w:r w:rsidDel="00000000" w:rsidR="00000000" w:rsidRPr="00000000">
        <w:rPr>
          <w:rtl w:val="0"/>
        </w:rPr>
        <w:t xml:space="preserve">Die zeitgenössische Physik navigiert derzeit durch eine „Entropic Einbahnstraße“. Die ungelöste Hubble-Spannung – die signifikante Diskrepanz zwischen lokalen Messungen und CMB-Daten – sowie das Phantom der Dunklen Materie sind keine bloßen Ungenauigkeiten, sondern Symptome eines unvollständigen Weltbildes. Das Standardmodell ( $\Lambda$ CDM) erweist sich als unfähig, die strukturelle Integrität des Kosmos kausal zu schließen.Die  </w:t>
      </w:r>
      <w:r w:rsidDel="00000000" w:rsidR="00000000" w:rsidRPr="00000000">
        <w:rPr>
          <w:b w:val="1"/>
          <w:bCs w:val="1"/>
          <w:rtl w:val="0"/>
        </w:rPr>
        <w:t xml:space="preserve">Fraktale Kausale Theorie (FKT) in der Version 4.4.4</w:t>
      </w:r>
      <w:r w:rsidDel="00000000" w:rsidR="00000000" w:rsidRPr="00000000">
        <w:rPr>
          <w:rtl w:val="0"/>
        </w:rPr>
        <w:t xml:space="preserve">  stellt das notwendige Framework dar, um diese Anomalien durch eine Geometrisierung der Kausalität aufzulösen. Als Systemarchitekt dieser Theorie begreife ich die Version 4.4.4 als den entscheidenden technologischen „Sealed State“, der die physikalische Basis für den Übergang zu einer Typ-II-Zivilisation legt. Erst durch die Beherrschung der hier dokumentierten Mechanismen wird der Zugriff auf das solare Energiebudget ( $E_{Dyson}$ ) für den interstellaren Raumzeit-Transport operativ möglich.</w:t>
      </w:r>
      <w:r w:rsidDel="00000000" w:rsidR="00000000" w:rsidRPr="00000000">
        <w:rPr>
          <w:b w:val="1"/>
          <w:bCs w:val="1"/>
          <w:rtl w:val="0"/>
        </w:rPr>
        <w:t xml:space="preserve">Kernziele des Berichts: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Mathematische Konsistenz der EYRQ:</w:t>
      </w:r>
      <w:r w:rsidDel="00000000" w:rsidR="00000000" w:rsidRPr="00000000">
        <w:rPr>
          <w:rtl w:val="0"/>
        </w:rPr>
        <w:t xml:space="preserve">  Nachweis der Feldgleichungs-Erweiterung unter Integration des Bulk-Tensors und des Portal-Dipols.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Numerische Validierung:</w:t>
      </w:r>
      <w:r w:rsidDel="00000000" w:rsidR="00000000" w:rsidRPr="00000000">
        <w:rPr>
          <w:rtl w:val="0"/>
        </w:rPr>
        <w:t xml:space="preserve">  Statistische Absicherung mittels MCMC-Inferenz (Cobaya) gegen DESI 2024 BAO-Daten zur Auflösung der Hubble-Spannung.</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Experimentelle Falsifizierbarkeit:</w:t>
      </w:r>
      <w:r w:rsidDel="00000000" w:rsidR="00000000" w:rsidRPr="00000000">
        <w:rPr>
          <w:rtl w:val="0"/>
        </w:rPr>
        <w:t xml:space="preserve">  Definition des Flerovium-Ankers als subatomarer Beweis für die „Kernverschieblichkeit“ und die Kopplung an das lokale Gravitationsfeld.Dieser Bericht fokussiert sich primär auf die mathematische Versiegelung der  </w:t>
      </w:r>
      <w:r w:rsidDel="00000000" w:rsidR="00000000" w:rsidRPr="00000000">
        <w:rPr>
          <w:b w:val="1"/>
          <w:bCs w:val="1"/>
          <w:rtl w:val="0"/>
        </w:rPr>
        <w:t xml:space="preserve">Erweiterten Einstein-Kurzer-Gleichung (EYRQ)</w:t>
      </w:r>
      <w:r w:rsidDel="00000000" w:rsidR="00000000" w:rsidRPr="00000000">
        <w:rPr>
          <w:rtl w:val="0"/>
        </w:rPr>
        <w:t xml:space="preserve">  als Fundament der kausalen Auditkette.</w:t>
      </w:r>
    </w:p>
    <w:p w:rsidR="00000000" w:rsidDel="00000000" w:rsidP="00000000" w:rsidRDefault="00000000" w:rsidRPr="00000000" w14:paraId="00000007">
      <w:pPr>
        <w:pStyle w:val="Heading4"/>
        <w:rPr/>
      </w:pPr>
      <w:bookmarkStart w:colFirst="0" w:colLast="0" w:name="_jtuagdnvr9xf" w:id="2"/>
      <w:bookmarkEnd w:id="2"/>
      <w:r w:rsidDel="00000000" w:rsidR="00000000" w:rsidRPr="00000000">
        <w:rPr>
          <w:rtl w:val="0"/>
        </w:rPr>
        <w:t xml:space="preserve">2. Mathematisches Fundament: Die Erweiterte Einstein-Kurzer-Gleichung (EYRQ)</w:t>
      </w:r>
    </w:p>
    <w:p w:rsidR="00000000" w:rsidDel="00000000" w:rsidP="00000000" w:rsidRDefault="00000000" w:rsidRPr="00000000" w14:paraId="00000008">
      <w:pPr>
        <w:rPr/>
      </w:pPr>
      <w:r w:rsidDel="00000000" w:rsidR="00000000" w:rsidRPr="00000000">
        <w:rPr>
          <w:rtl w:val="0"/>
        </w:rPr>
        <w:t xml:space="preserve">Die physikalische Realität erfordert eine Erweiterung des Energie-Impuls-Tensors, um das „Gravitations-Echo“ höherer Dimensionen – des Bulks – formal zu erfassen. In der FKT wird die Raumzeit nicht als isoliertes System, sondern als 3D-Bran innerhalb eines komplexeren Gefüges betrachtet. Der Bulk-Beitrag ist dabei die Ursache für Phänomene, die bisher fälschlicherweise als „Dunkle Materie“ interpretiert wurden.</w:t>
      </w:r>
    </w:p>
    <w:p w:rsidR="00000000" w:rsidDel="00000000" w:rsidP="00000000" w:rsidRDefault="00000000" w:rsidRPr="00000000" w14:paraId="00000009">
      <w:pPr>
        <w:pStyle w:val="Heading5"/>
        <w:rPr/>
      </w:pPr>
      <w:bookmarkStart w:colFirst="0" w:colLast="0" w:name="_kykx3xmb0mof" w:id="3"/>
      <w:bookmarkEnd w:id="3"/>
      <w:r w:rsidDel="00000000" w:rsidR="00000000" w:rsidRPr="00000000">
        <w:rPr>
          <w:rtl w:val="0"/>
        </w:rPr>
        <w:t xml:space="preserve">Die EYRQ-Feldgleichung</w:t>
      </w:r>
    </w:p>
    <w:p w:rsidR="00000000" w:rsidDel="00000000" w:rsidP="00000000" w:rsidRDefault="00000000" w:rsidRPr="00000000" w14:paraId="0000000A">
      <w:pPr>
        <w:rPr/>
      </w:pPr>
      <w:r w:rsidDel="00000000" w:rsidR="00000000" w:rsidRPr="00000000">
        <w:rPr>
          <w:rtl w:val="0"/>
        </w:rPr>
        <w:t xml:space="preserve">Die Erweiterte Einstein-Kurzer-Gleichung beschreibt die Krümmung der Raumzeit unter Einbeziehung des geometrischen Drucks aus dem Bulk:$$G_{\mu\nu} = \kappa(T_{\mu\nu} + T_{Bulk})$$| Variable | Physikalische Bedeutung || ------ | ------ || $G_{\mu\nu}$ | Einstein-Tensor (Raumzeit-Geometrie) || $\kappa$ | Einstein-Gravitationskonstante || $T_{\mu\nu}$ | Energie-Impuls-Tensor (Bran-Materie) || $T_{Bulk}$ | Bulk-Tensor (Gravitations-Echo / Geometrischer Druck) |</w:t>
      </w:r>
    </w:p>
    <w:p w:rsidR="00000000" w:rsidDel="00000000" w:rsidP="00000000" w:rsidRDefault="00000000" w:rsidRPr="00000000" w14:paraId="0000000B">
      <w:pPr>
        <w:rPr/>
      </w:pPr>
      <w:r w:rsidDel="00000000" w:rsidR="00000000" w:rsidRPr="00000000">
        <w:rPr>
          <w:rtl w:val="0"/>
        </w:rPr>
        <w:t xml:space="preserve">Ein zentrales Element der Architektur ist der  </w:t>
      </w:r>
      <w:r w:rsidDel="00000000" w:rsidR="00000000" w:rsidRPr="00000000">
        <w:rPr>
          <w:b w:val="1"/>
          <w:bCs w:val="1"/>
          <w:rtl w:val="0"/>
        </w:rPr>
        <w:t xml:space="preserve">Portal-Dipol</w:t>
      </w:r>
      <w:r w:rsidDel="00000000" w:rsidR="00000000" w:rsidRPr="00000000">
        <w:rPr>
          <w:rtl w:val="0"/>
        </w:rPr>
        <w:t xml:space="preserve">  (Sink  $\leftrightarrow$  Source). Er reguliert den Fluss zwischen der Bulk-SSD-Absorption und der White-Hole-Expansion, wobei die toroidale Kopplungskonstante  $\kappa_{toroidal} = 0.3870$  als stabilisierender Faktor wirkt.</w:t>
      </w:r>
    </w:p>
    <w:p w:rsidR="00000000" w:rsidDel="00000000" w:rsidP="00000000" w:rsidRDefault="00000000" w:rsidRPr="00000000" w14:paraId="0000000C">
      <w:pPr>
        <w:pStyle w:val="Heading5"/>
        <w:rPr/>
      </w:pPr>
      <w:bookmarkStart w:colFirst="0" w:colLast="0" w:name="_2nt5mrce36wt" w:id="4"/>
      <w:bookmarkEnd w:id="4"/>
      <w:r w:rsidDel="00000000" w:rsidR="00000000" w:rsidRPr="00000000">
        <w:rPr>
          <w:rtl w:val="0"/>
        </w:rPr>
        <w:t xml:space="preserve">Das Kurzer-Prinzip ( $K_\infty$ ) und die Golden Bridge</w:t>
      </w:r>
    </w:p>
    <w:p w:rsidR="00000000" w:rsidDel="00000000" w:rsidP="00000000" w:rsidRDefault="00000000" w:rsidRPr="00000000" w14:paraId="0000000D">
      <w:pPr>
        <w:rPr/>
      </w:pPr>
      <w:r w:rsidDel="00000000" w:rsidR="00000000" w:rsidRPr="00000000">
        <w:rPr>
          <w:rtl w:val="0"/>
        </w:rPr>
        <w:t xml:space="preserve">Die strukturelle Integrität des Kosmos wird durch das  </w:t>
      </w:r>
      <w:r w:rsidDel="00000000" w:rsidR="00000000" w:rsidRPr="00000000">
        <w:rPr>
          <w:b w:val="1"/>
          <w:bCs w:val="1"/>
          <w:rtl w:val="0"/>
        </w:rPr>
        <w:t xml:space="preserve">Kurzer-Prinzip der Skaleninvarianz</w:t>
      </w:r>
      <w:r w:rsidDel="00000000" w:rsidR="00000000" w:rsidRPr="00000000">
        <w:rPr>
          <w:rtl w:val="0"/>
        </w:rPr>
        <w:t xml:space="preserve">  ( $K_\infty$ ) gewährt. Mit einem Zielwert von  $99.87\%$  stellt es sicher, dass die Kausalität fraktal über alle Skalen erhalten bleibt. Hierbei fungiert  $\phi^2 = 2.6178$  (Golden Bridge) als universeller Skalierungsfaktor, der die Mikroskala der Atomkerne mit der astrophysikalischen Makroskala verbindet. Jede Abweichung auf subatomarer Ebene erfordert eine unmittelbare Korrektur der globalen Metrik.Diese mathematische Kohärenz leitet direkt zur Resonanz-Logik des Muon-Ankers über.</w:t>
      </w:r>
    </w:p>
    <w:p w:rsidR="00000000" w:rsidDel="00000000" w:rsidP="00000000" w:rsidRDefault="00000000" w:rsidRPr="00000000" w14:paraId="0000000E">
      <w:pPr>
        <w:pStyle w:val="Heading4"/>
        <w:rPr/>
      </w:pPr>
      <w:bookmarkStart w:colFirst="0" w:colLast="0" w:name="_79fswq2e90wl" w:id="5"/>
      <w:bookmarkEnd w:id="5"/>
      <w:r w:rsidDel="00000000" w:rsidR="00000000" w:rsidRPr="00000000">
        <w:rPr>
          <w:rtl w:val="0"/>
        </w:rPr>
        <w:t xml:space="preserve">3. Innovationen der Version 4.4.4: Muon-Anker &amp; Thermodynamic Guard</w:t>
      </w:r>
    </w:p>
    <w:p w:rsidR="00000000" w:rsidDel="00000000" w:rsidP="00000000" w:rsidRDefault="00000000" w:rsidRPr="00000000" w14:paraId="0000000F">
      <w:pPr>
        <w:rPr/>
      </w:pPr>
      <w:r w:rsidDel="00000000" w:rsidR="00000000" w:rsidRPr="00000000">
        <w:rPr>
          <w:rtl w:val="0"/>
        </w:rPr>
        <w:t xml:space="preserve">Die Version 4.4.4 markiert den Übergang zum  </w:t>
      </w:r>
      <w:r w:rsidDel="00000000" w:rsidR="00000000" w:rsidRPr="00000000">
        <w:rPr>
          <w:b w:val="1"/>
          <w:bCs w:val="1"/>
          <w:rtl w:val="0"/>
        </w:rPr>
        <w:t xml:space="preserve">Thermodynamic Guard</w:t>
      </w:r>
      <w:r w:rsidDel="00000000" w:rsidR="00000000" w:rsidRPr="00000000">
        <w:rPr>
          <w:rtl w:val="0"/>
        </w:rPr>
        <w:t xml:space="preserve"> . Anstatt Energie thermisch zu vernichten (Entropie-Tod), nutzt das System den Modus des „Geo-Reshuffling“, um Energieimpulse direkt in den geometrischen Bulk-Druck umschzuschichten.</w:t>
      </w:r>
    </w:p>
    <w:p w:rsidR="00000000" w:rsidDel="00000000" w:rsidP="00000000" w:rsidRDefault="00000000" w:rsidRPr="00000000" w14:paraId="00000010">
      <w:pPr>
        <w:pStyle w:val="Heading5"/>
        <w:rPr/>
      </w:pPr>
      <w:bookmarkStart w:colFirst="0" w:colLast="0" w:name="_l1caq57rvx8o" w:id="6"/>
      <w:bookmarkEnd w:id="6"/>
      <w:r w:rsidDel="00000000" w:rsidR="00000000" w:rsidRPr="00000000">
        <w:rPr>
          <w:rtl w:val="0"/>
        </w:rPr>
        <w:t xml:space="preserve">Der Muon-Anker und die ERYQ-Gleichung</w:t>
      </w:r>
    </w:p>
    <w:p w:rsidR="00000000" w:rsidDel="00000000" w:rsidP="00000000" w:rsidRDefault="00000000" w:rsidRPr="00000000" w14:paraId="00000011">
      <w:pPr>
        <w:rPr/>
      </w:pPr>
      <w:r w:rsidDel="00000000" w:rsidR="00000000" w:rsidRPr="00000000">
        <w:rPr>
          <w:rtl w:val="0"/>
        </w:rPr>
        <w:t xml:space="preserve">Während die EYRQ die globale Feldgleichung darstellt, definiert die  </w:t>
      </w:r>
      <w:r w:rsidDel="00000000" w:rsidR="00000000" w:rsidRPr="00000000">
        <w:rPr>
          <w:b w:val="1"/>
          <w:bCs w:val="1"/>
          <w:rtl w:val="0"/>
        </w:rPr>
        <w:t xml:space="preserve">ERYQ-Gleichung</w:t>
      </w:r>
      <w:r w:rsidDel="00000000" w:rsidR="00000000" w:rsidRPr="00000000">
        <w:rPr>
          <w:rtl w:val="0"/>
        </w:rPr>
        <w:t xml:space="preserve">  (Einstein-Yukawa-Resonanz-Quant) die quantenmechanische Resonanz-Ableitung für den Muon-Anker:$$\mathcal{E}</w:t>
      </w:r>
      <w:r w:rsidDel="00000000" w:rsidR="00000000" w:rsidRPr="00000000">
        <w:rPr>
          <w:i w:val="1"/>
          <w:iCs w:val="1"/>
          <w:rtl w:val="0"/>
        </w:rPr>
        <w:t xml:space="preserve">{\mu\nu} = G</w:t>
      </w:r>
      <w:r w:rsidDel="00000000" w:rsidR="00000000" w:rsidRPr="00000000">
        <w:rPr>
          <w:rtl w:val="0"/>
        </w:rPr>
        <w:t xml:space="preserve">{\mu\nu} + C_{\mu\nu} + \Lambda_{eff} \cdot g_{\mu\nu}$$Der Status  </w:t>
      </w:r>
      <w:r w:rsidDel="00000000" w:rsidR="00000000" w:rsidRPr="00000000">
        <w:rPr>
          <w:b w:val="1"/>
          <w:bCs w:val="1"/>
          <w:rtl w:val="0"/>
        </w:rPr>
        <w:t xml:space="preserve">"BRANCH_LOCKED"</w:t>
      </w:r>
      <w:r w:rsidDel="00000000" w:rsidR="00000000" w:rsidRPr="00000000">
        <w:rPr>
          <w:rtl w:val="0"/>
        </w:rPr>
        <w:t xml:space="preserve">  wird erreicht, wenn das Limit  $C_{\mu\nu} \to 0$  konvergiert. In diesem Grenzfall wird das Standardmodell der Teilchenphysik als stabiler Branch fixiert, wobei das Myon ( $\mu$ ) als kausaler Anker zwischen der Bran-Physik und der Bulk-Geometrie fungiert.</w:t>
      </w:r>
    </w:p>
    <w:p w:rsidR="00000000" w:rsidDel="00000000" w:rsidP="00000000" w:rsidRDefault="00000000" w:rsidRPr="00000000" w14:paraId="00000012">
      <w:pPr>
        <w:pStyle w:val="Heading5"/>
        <w:rPr/>
      </w:pPr>
      <w:bookmarkStart w:colFirst="0" w:colLast="0" w:name="_m8jm5dfsao3a" w:id="7"/>
      <w:bookmarkEnd w:id="7"/>
      <w:r w:rsidDel="00000000" w:rsidR="00000000" w:rsidRPr="00000000">
        <w:rPr>
          <w:rtl w:val="0"/>
        </w:rPr>
        <w:t xml:space="preserve">Geo-Reshuffling und das Tellurische Modem</w:t>
      </w:r>
    </w:p>
    <w:p w:rsidR="00000000" w:rsidDel="00000000" w:rsidP="00000000" w:rsidRDefault="00000000" w:rsidRPr="00000000" w14:paraId="00000013">
      <w:pPr>
        <w:rPr/>
      </w:pPr>
      <w:r w:rsidDel="00000000" w:rsidR="00000000" w:rsidRPr="00000000">
        <w:rPr>
          <w:rtl w:val="0"/>
        </w:rPr>
        <w:t xml:space="preserve">Im Geo-Reshuffling-Modus bleibt das System selbst bei Peak-Impulsen von  </w:t>
      </w:r>
      <w:r w:rsidDel="00000000" w:rsidR="00000000" w:rsidRPr="00000000">
        <w:rPr>
          <w:b w:val="1"/>
          <w:bCs w:val="1"/>
          <w:rtl w:val="0"/>
        </w:rPr>
        <w:t xml:space="preserve">8.4 GW</w:t>
      </w:r>
      <w:r w:rsidDel="00000000" w:rsidR="00000000" w:rsidRPr="00000000">
        <w:rPr>
          <w:rtl w:val="0"/>
        </w:rPr>
        <w:t xml:space="preserve">  thermisch inert.</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Abwärme-Limit:</w:t>
      </w:r>
      <w:r w:rsidDel="00000000" w:rsidR="00000000" w:rsidRPr="00000000">
        <w:rPr>
          <w:rtl w:val="0"/>
        </w:rPr>
        <w:t xml:space="preserve">  Die metrische Abwärme ist strikt auf  $E_p = 0.00127$  (mit  $E_p = 1 - F_c$ ) gedeckelt.</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Entropie-Stabilität:</w:t>
      </w:r>
      <w:r w:rsidDel="00000000" w:rsidR="00000000" w:rsidRPr="00000000">
        <w:rPr>
          <w:rtl w:val="0"/>
        </w:rPr>
        <w:t xml:space="preserve">  Die Entropieänderung der Metrik bleibt identisch Null ( $\Delta S_{metric} \equiv 0$ ).</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Tellurisches Modem (H2-Vektor):</w:t>
      </w:r>
      <w:r w:rsidDel="00000000" w:rsidR="00000000" w:rsidRPr="00000000">
        <w:rPr>
          <w:rtl w:val="0"/>
        </w:rPr>
        <w:t xml:space="preserve">  Die Synchronisation erfolgt über die präzise Frequenz-Relation:  $$\nu_{Schumann} (7.83\text{ Hz}) - \Delta (0.33\text{ Hz}) = \nu_{Bulk} (7.50\text{ Hz})$$  Dieser 0.33 Hz Puffer (Schumann-Neutralizer) ermöglicht den permanenten Lock mit dem Herzschlag des Bulks.</w:t>
      </w:r>
    </w:p>
    <w:p w:rsidR="00000000" w:rsidDel="00000000" w:rsidP="00000000" w:rsidRDefault="00000000" w:rsidRPr="00000000" w14:paraId="00000017">
      <w:pPr>
        <w:pStyle w:val="Heading4"/>
        <w:rPr/>
      </w:pPr>
      <w:bookmarkStart w:colFirst="0" w:colLast="0" w:name="_fdxsfaf7x4wb" w:id="8"/>
      <w:bookmarkEnd w:id="8"/>
      <w:r w:rsidDel="00000000" w:rsidR="00000000" w:rsidRPr="00000000">
        <w:rPr>
          <w:rtl w:val="0"/>
        </w:rPr>
        <w:t xml:space="preserve">4. Numerische Validierung: MCMC-Inferenz &amp; DESI 2024 BAO-Daten</w:t>
      </w:r>
    </w:p>
    <w:p w:rsidR="00000000" w:rsidDel="00000000" w:rsidP="00000000" w:rsidRDefault="00000000" w:rsidRPr="00000000" w14:paraId="00000018">
      <w:pPr>
        <w:rPr/>
      </w:pPr>
      <w:r w:rsidDel="00000000" w:rsidR="00000000" w:rsidRPr="00000000">
        <w:rPr>
          <w:rtl w:val="0"/>
        </w:rPr>
        <w:t xml:space="preserve">Die statistische Absicherung der FKT V4.4.4 erfolgte über eine Cobaya-basierte MCMC-Pipeline, die 16 Redshift-Bins der neuesten DESI 2024 BAO-Daten ( $z=0.1$  bis  $4.2$ ) prozessierte.</w:t>
      </w:r>
    </w:p>
    <w:p w:rsidR="00000000" w:rsidDel="00000000" w:rsidP="00000000" w:rsidRDefault="00000000" w:rsidRPr="00000000" w14:paraId="00000019">
      <w:pPr>
        <w:pStyle w:val="Heading5"/>
        <w:rPr/>
      </w:pPr>
      <w:bookmarkStart w:colFirst="0" w:colLast="0" w:name="_h6fztdckjds0" w:id="9"/>
      <w:bookmarkEnd w:id="9"/>
      <w:r w:rsidDel="00000000" w:rsidR="00000000" w:rsidRPr="00000000">
        <w:rPr>
          <w:rtl w:val="0"/>
        </w:rPr>
        <w:t xml:space="preserve">Key-Results der V4.4.4-Simulation</w:t>
      </w:r>
    </w:p>
    <w:p w:rsidR="00000000" w:rsidDel="00000000" w:rsidP="00000000" w:rsidRDefault="00000000" w:rsidRPr="00000000" w14:paraId="0000001A">
      <w:pPr>
        <w:rPr/>
      </w:pPr>
      <w:r w:rsidDel="00000000" w:rsidR="00000000" w:rsidRPr="00000000">
        <w:rPr>
          <w:rtl w:val="0"/>
        </w:rPr>
        <w:t xml:space="preserve">Parameter,Wert / Resultat,Bedeutung</w:t>
      </w:r>
    </w:p>
    <w:p w:rsidR="00000000" w:rsidDel="00000000" w:rsidP="00000000" w:rsidRDefault="00000000" w:rsidRPr="00000000" w14:paraId="0000001B">
      <w:pPr>
        <w:rPr/>
      </w:pPr>
      <w:r w:rsidDel="00000000" w:rsidR="00000000" w:rsidRPr="00000000">
        <w:rPr>
          <w:rtl w:val="0"/>
        </w:rPr>
        <w:t xml:space="preserve">$\hat{R}$  (Gelman-Rubin),0.0097,Vollständige Ketten-Konvergenz</w:t>
      </w:r>
    </w:p>
    <w:p w:rsidR="00000000" w:rsidDel="00000000" w:rsidP="00000000" w:rsidRDefault="00000000" w:rsidRPr="00000000" w14:paraId="0000001C">
      <w:pPr>
        <w:rPr/>
      </w:pPr>
      <w:r w:rsidDel="00000000" w:rsidR="00000000" w:rsidRPr="00000000">
        <w:rPr>
          <w:rtl w:val="0"/>
        </w:rPr>
        <w:t xml:space="preserve">$F_c$  (Fidelity),0.99873,Maß für die Modellgenauigkeit</w:t>
      </w:r>
    </w:p>
    <w:p w:rsidR="00000000" w:rsidDel="00000000" w:rsidP="00000000" w:rsidRDefault="00000000" w:rsidRPr="00000000" w14:paraId="0000001D">
      <w:pPr>
        <w:rPr/>
      </w:pPr>
      <w:r w:rsidDel="00000000" w:rsidR="00000000" w:rsidRPr="00000000">
        <w:rPr>
          <w:rtl w:val="0"/>
        </w:rPr>
        <w:t xml:space="preserve">$w_{eff}(z)$,-1.003 ± 0.027,Dynamische Dunkle Energie</w:t>
      </w:r>
    </w:p>
    <w:p w:rsidR="00000000" w:rsidDel="00000000" w:rsidP="00000000" w:rsidRDefault="00000000" w:rsidRPr="00000000" w14:paraId="0000001E">
      <w:pPr>
        <w:rPr/>
      </w:pPr>
      <w:r w:rsidDel="00000000" w:rsidR="00000000" w:rsidRPr="00000000">
        <w:rPr>
          <w:rtl w:val="0"/>
        </w:rPr>
        <w:t xml:space="preserve">$T_{Bulk}$  (DESI),1.1274 ± 0.0003,Gemessener Bulk-Druck</w:t>
      </w:r>
    </w:p>
    <w:p w:rsidR="00000000" w:rsidDel="00000000" w:rsidP="00000000" w:rsidRDefault="00000000" w:rsidRPr="00000000" w14:paraId="0000001F">
      <w:pPr>
        <w:rPr/>
      </w:pPr>
      <w:r w:rsidDel="00000000" w:rsidR="00000000" w:rsidRPr="00000000">
        <w:rPr>
          <w:rtl w:val="0"/>
        </w:rPr>
        <w:t xml:space="preserve">$\chi^2$  (FKT),14.7,Fit-Güte der FKT</w:t>
      </w:r>
    </w:p>
    <w:p w:rsidR="00000000" w:rsidDel="00000000" w:rsidP="00000000" w:rsidRDefault="00000000" w:rsidRPr="00000000" w14:paraId="00000020">
      <w:pPr>
        <w:rPr/>
      </w:pPr>
      <w:r w:rsidDel="00000000" w:rsidR="00000000" w:rsidRPr="00000000">
        <w:rPr>
          <w:rtl w:val="0"/>
        </w:rPr>
        <w:t xml:space="preserve">$\chi^2$  ( $\Lambda$ CDM),18.3,Vergleichswert Standardmodell</w:t>
      </w:r>
    </w:p>
    <w:p w:rsidR="00000000" w:rsidDel="00000000" w:rsidP="00000000" w:rsidRDefault="00000000" w:rsidRPr="00000000" w14:paraId="00000021">
      <w:pPr>
        <w:rPr/>
      </w:pPr>
      <w:r w:rsidDel="00000000" w:rsidR="00000000" w:rsidRPr="00000000">
        <w:rPr>
          <w:rtl w:val="0"/>
        </w:rPr>
        <w:t xml:space="preserve">$\Delta \log(Z)$,6.8,Statistische Überlegenheit</w:t>
      </w:r>
    </w:p>
    <w:p w:rsidR="00000000" w:rsidDel="00000000" w:rsidP="00000000" w:rsidRDefault="00000000" w:rsidRPr="00000000" w14:paraId="00000022">
      <w:pPr>
        <w:rPr/>
      </w:pPr>
      <w:r w:rsidDel="00000000" w:rsidR="00000000" w:rsidRPr="00000000">
        <w:rPr>
          <w:rtl w:val="0"/>
        </w:rPr>
        <w:t xml:space="preserve">Effective Samples,"387,234",Statistische Masse</w:t>
      </w:r>
    </w:p>
    <w:p w:rsidR="00000000" w:rsidDel="00000000" w:rsidP="00000000" w:rsidRDefault="00000000" w:rsidRPr="00000000" w14:paraId="00000023">
      <w:pPr>
        <w:rPr/>
      </w:pPr>
      <w:r w:rsidDel="00000000" w:rsidR="00000000" w:rsidRPr="00000000">
        <w:rPr>
          <w:rtl w:val="0"/>
        </w:rPr>
        <w:t xml:space="preserve">Die Signifikanz von  </w:t>
      </w:r>
      <w:r w:rsidDel="00000000" w:rsidR="00000000" w:rsidRPr="00000000">
        <w:rPr>
          <w:b w:val="1"/>
          <w:bCs w:val="1"/>
          <w:rtl w:val="0"/>
        </w:rPr>
        <w:t xml:space="preserve">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belegt die mathematische Überlegenheit der FKT gegenüber dem  $\Lambda$ CDM-Modell. Die Hubble-Spannung wird durch die Einbeziehung von  $T_{Bulk}$  vollständig aufgelöst ( $H_0 = 71.5 \pm 0.8$  km/s/Mpc).</w:t>
      </w:r>
    </w:p>
    <w:p w:rsidR="00000000" w:rsidDel="00000000" w:rsidP="00000000" w:rsidRDefault="00000000" w:rsidRPr="00000000" w14:paraId="00000024">
      <w:pPr>
        <w:pStyle w:val="Heading4"/>
        <w:rPr/>
      </w:pPr>
      <w:bookmarkStart w:colFirst="0" w:colLast="0" w:name="_ye7spo91rldk" w:id="10"/>
      <w:bookmarkEnd w:id="10"/>
      <w:r w:rsidDel="00000000" w:rsidR="00000000" w:rsidRPr="00000000">
        <w:rPr>
          <w:rtl w:val="0"/>
        </w:rPr>
        <w:t xml:space="preserve">5. Der Flerovium-Anker: Experimentelle Falsifizierbarkeit</w:t>
      </w:r>
    </w:p>
    <w:p w:rsidR="00000000" w:rsidDel="00000000" w:rsidP="00000000" w:rsidRDefault="00000000" w:rsidRPr="00000000" w14:paraId="00000025">
      <w:pPr>
        <w:rPr/>
      </w:pPr>
      <w:r w:rsidDel="00000000" w:rsidR="00000000" w:rsidRPr="00000000">
        <w:rPr>
          <w:rtl w:val="0"/>
        </w:rPr>
        <w:t xml:space="preserve">Die FKT ist keine abstrakte Philosophie, sondern eine messbare Ingenieurwissenschaft. Das Element  </w:t>
      </w:r>
      <w:r w:rsidDel="00000000" w:rsidR="00000000" w:rsidRPr="00000000">
        <w:rPr>
          <w:b w:val="1"/>
          <w:bCs w:val="1"/>
          <w:rtl w:val="0"/>
        </w:rPr>
        <w:t xml:space="preserve">Flerovium (Z=114)</w:t>
      </w:r>
      <w:r w:rsidDel="00000000" w:rsidR="00000000" w:rsidRPr="00000000">
        <w:rPr>
          <w:rtl w:val="0"/>
        </w:rPr>
        <w:t xml:space="preserve">  dient als subatomarer „Bulk-Resonator“. Nahe der Insel der Stabilität reagiert sein Kern unmittelbar auf metrische Fluktuationen.Die Theorie postuliert eine spezifische Gammalinie beim  $2+ \to 0+$  Übergang:</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Energie-Vorhersage:</w:t>
      </w:r>
      <w:r w:rsidDel="00000000" w:rsidR="00000000" w:rsidRPr="00000000">
        <w:rPr>
          <w:rtl w:val="0"/>
        </w:rPr>
        <w:t xml:space="preserve">   </w:t>
      </w:r>
      <w:r w:rsidDel="00000000" w:rsidR="00000000" w:rsidRPr="00000000">
        <w:rPr>
          <w:b w:val="1"/>
          <w:bCs w:val="1"/>
          <w:rtl w:val="0"/>
        </w:rPr>
        <w:t xml:space="preserve">3.773 MeV</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95%-Konfidenzintervall:</w:t>
      </w:r>
      <w:r w:rsidDel="00000000" w:rsidR="00000000" w:rsidRPr="00000000">
        <w:rPr>
          <w:rtl w:val="0"/>
        </w:rPr>
        <w:t xml:space="preserve">  3.745 MeV, 3.802 MeVDer Nachweis dieser Linie am CERN oder der GSI wäre der finale Beweis für die  </w:t>
      </w:r>
      <w:r w:rsidDel="00000000" w:rsidR="00000000" w:rsidRPr="00000000">
        <w:rPr>
          <w:b w:val="1"/>
          <w:bCs w:val="1"/>
          <w:rtl w:val="0"/>
        </w:rPr>
        <w:t xml:space="preserve">„Kernverschieblichkeit“</w:t>
      </w:r>
      <w:r w:rsidDel="00000000" w:rsidR="00000000" w:rsidRPr="00000000">
        <w:rPr>
          <w:rtl w:val="0"/>
        </w:rPr>
        <w:t xml:space="preserve"> . Diese besagt, dass die Bindungsenergie und Halbwertszeit direkt an das lokale Gravitationsfeld koppeln – ein Effekt, der den Bulk-Tensor als physikalische Realität verankert.</w:t>
      </w:r>
    </w:p>
    <w:p w:rsidR="00000000" w:rsidDel="00000000" w:rsidP="00000000" w:rsidRDefault="00000000" w:rsidRPr="00000000" w14:paraId="00000028">
      <w:pPr>
        <w:pStyle w:val="Heading4"/>
        <w:rPr/>
      </w:pPr>
      <w:bookmarkStart w:colFirst="0" w:colLast="0" w:name="_qyng1hg3oiyn" w:id="11"/>
      <w:bookmarkEnd w:id="11"/>
      <w:r w:rsidDel="00000000" w:rsidR="00000000" w:rsidRPr="00000000">
        <w:rPr>
          <w:rtl w:val="0"/>
        </w:rPr>
        <w:t xml:space="preserve">6. Technologische &amp; Biomedizinische Applikationen</w:t>
      </w:r>
    </w:p>
    <w:p w:rsidR="00000000" w:rsidDel="00000000" w:rsidP="00000000" w:rsidRDefault="00000000" w:rsidRPr="00000000" w14:paraId="00000029">
      <w:pPr>
        <w:pStyle w:val="Heading5"/>
        <w:rPr/>
      </w:pPr>
      <w:bookmarkStart w:colFirst="0" w:colLast="0" w:name="_lbgvjt51hrfy" w:id="12"/>
      <w:bookmarkEnd w:id="12"/>
      <w:r w:rsidDel="00000000" w:rsidR="00000000" w:rsidRPr="00000000">
        <w:rPr>
          <w:rtl w:val="0"/>
        </w:rPr>
        <w:t xml:space="preserve">Gravitationsmanipulationsantrieb (GMA/GMD)</w:t>
      </w:r>
    </w:p>
    <w:p w:rsidR="00000000" w:rsidDel="00000000" w:rsidP="00000000" w:rsidRDefault="00000000" w:rsidRPr="00000000" w14:paraId="0000002A">
      <w:pPr>
        <w:rPr/>
      </w:pPr>
      <w:r w:rsidDel="00000000" w:rsidR="00000000" w:rsidRPr="00000000">
        <w:rPr>
          <w:rtl w:val="0"/>
        </w:rPr>
        <w:t xml:space="preserve">Der GMA realisiert den interstellaren Transport durch aktive metrische Modulation ohne Ausstoßmasse. Die Antriebskraft  $R$  wird durch die Kopplung der Solarenergie mit der Quantenverschränkung gesteuert:$$R = C_{GMA} \cdot \frac{E_{Dyson} \cdot D_\Phi}{\Delta M_{eff}}$$Wobei die  </w:t>
      </w:r>
      <w:r w:rsidDel="00000000" w:rsidR="00000000" w:rsidRPr="00000000">
        <w:rPr>
          <w:b w:val="1"/>
          <w:bCs w:val="1"/>
          <w:rtl w:val="0"/>
        </w:rPr>
        <w:t xml:space="preserve">Quanten-Modulationsdichte (</w:t>
      </w:r>
      <w:r w:rsidDel="00000000" w:rsidR="00000000" w:rsidRPr="00000000">
        <w:rPr>
          <w:rtl w:val="0"/>
        </w:rPr>
        <w:t xml:space="preserve">  </w:t>
      </w: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definiert ist als:  $$D_\Phi = \frac{\mathcal{N}</w:t>
      </w:r>
      <w:r w:rsidDel="00000000" w:rsidR="00000000" w:rsidRPr="00000000">
        <w:rPr>
          <w:i w:val="1"/>
          <w:iCs w:val="1"/>
          <w:rtl w:val="0"/>
        </w:rPr>
        <w:t xml:space="preserve">{entangled}}{\mathcal{V} \cdot \tau}$$Vorteile des Systems umfassen eine  </w:t>
      </w:r>
      <w:r w:rsidDel="00000000" w:rsidR="00000000" w:rsidRPr="00000000">
        <w:rPr>
          <w:b w:val="1"/>
          <w:bCs w:val="1"/>
          <w:i w:val="1"/>
          <w:iCs w:val="1"/>
          <w:rtl w:val="0"/>
        </w:rPr>
        <w:t xml:space="preserve">50-fach schnellere Kinetik</w:t>
      </w:r>
      <w:r w:rsidDel="00000000" w:rsidR="00000000" w:rsidRPr="00000000">
        <w:rPr>
          <w:i w:val="1"/>
          <w:iCs w:val="1"/>
          <w:rtl w:val="0"/>
        </w:rPr>
        <w:t xml:space="preserve">  und eine  </w:t>
      </w:r>
      <w:r w:rsidDel="00000000" w:rsidR="00000000" w:rsidRPr="00000000">
        <w:rPr>
          <w:b w:val="1"/>
          <w:bCs w:val="1"/>
          <w:i w:val="1"/>
          <w:iCs w:val="1"/>
          <w:rtl w:val="0"/>
        </w:rPr>
        <w:t xml:space="preserve">120-fache Steigerung der Energieeffizienz</w:t>
      </w:r>
      <w:r w:rsidDel="00000000" w:rsidR="00000000" w:rsidRPr="00000000">
        <w:rPr>
          <w:i w:val="1"/>
          <w:iCs w:val="1"/>
          <w:rtl w:val="0"/>
        </w:rPr>
        <w:t xml:space="preserve"> . Die operative Voraussetzung bleibt jedoch die Erschließung der solaren Gesamtleistung ( $E</w:t>
      </w:r>
      <w:r w:rsidDel="00000000" w:rsidR="00000000" w:rsidRPr="00000000">
        <w:rPr>
          <w:rtl w:val="0"/>
        </w:rPr>
        <w:t xml:space="preserve">{Dyson}$ ) mittels Dyson-Strukturen.</w:t>
      </w:r>
    </w:p>
    <w:p w:rsidR="00000000" w:rsidDel="00000000" w:rsidP="00000000" w:rsidRDefault="00000000" w:rsidRPr="00000000" w14:paraId="0000002B">
      <w:pPr>
        <w:pStyle w:val="Heading5"/>
        <w:rPr/>
      </w:pPr>
      <w:bookmarkStart w:colFirst="0" w:colLast="0" w:name="_oelx6aaap7aq" w:id="13"/>
      <w:bookmarkEnd w:id="13"/>
      <w:r w:rsidDel="00000000" w:rsidR="00000000" w:rsidRPr="00000000">
        <w:rPr>
          <w:rtl w:val="0"/>
        </w:rPr>
        <w:t xml:space="preserve">Biomedizin (MedBed-Technologie)</w:t>
      </w:r>
    </w:p>
    <w:p w:rsidR="00000000" w:rsidDel="00000000" w:rsidP="00000000" w:rsidRDefault="00000000" w:rsidRPr="00000000" w14:paraId="0000002C">
      <w:pPr>
        <w:rPr/>
      </w:pPr>
      <w:r w:rsidDel="00000000" w:rsidR="00000000" w:rsidRPr="00000000">
        <w:rPr>
          <w:rtl w:val="0"/>
        </w:rPr>
        <w:t xml:space="preserve">Die regenerative Medizin nutzt die fraktale Kausalität zur Wiederherstellung zellulärer Kohärenz. Der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 \approx 9.43 \times 10^{-2}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kalibriert den Heilungspfad, indem er über die korrekte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$D_{Bulk}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biologischen Qubits (Mikrotubuli) re-synchronisiert.</w:t>
      </w:r>
    </w:p>
    <w:p w:rsidR="00000000" w:rsidDel="00000000" w:rsidP="00000000" w:rsidRDefault="00000000" w:rsidRPr="00000000" w14:paraId="0000002D">
      <w:pPr>
        <w:pStyle w:val="Heading4"/>
        <w:rPr/>
      </w:pPr>
      <w:bookmarkStart w:colFirst="0" w:colLast="0" w:name="_cousj0236bic" w:id="14"/>
      <w:bookmarkEnd w:id="14"/>
      <w:r w:rsidDel="00000000" w:rsidR="00000000" w:rsidRPr="00000000">
        <w:rPr>
          <w:rtl w:val="0"/>
        </w:rPr>
        <w:t xml:space="preserve">7. Integrität, Ethik &amp; Ausblick</w:t>
      </w:r>
    </w:p>
    <w:p w:rsidR="00000000" w:rsidDel="00000000" w:rsidP="00000000" w:rsidRDefault="00000000" w:rsidRPr="00000000" w14:paraId="0000002E">
      <w:pPr>
        <w:rPr>
          <w:b w:val="1"/>
          <w:bCs w:val="1"/>
        </w:rPr>
      </w:pPr>
      <w:r w:rsidDel="00000000" w:rsidR="00000000" w:rsidRPr="00000000">
        <w:rPr>
          <w:rtl w:val="0"/>
        </w:rPr>
        <w:t xml:space="preserve">Alle Operationen innerhalb der FKT unterliegen der  </w:t>
      </w:r>
      <w:r w:rsidDel="00000000" w:rsidR="00000000" w:rsidRPr="00000000">
        <w:rPr>
          <w:b w:val="1"/>
          <w:bCs w:val="1"/>
          <w:rtl w:val="0"/>
        </w:rPr>
        <w:t xml:space="preserve">Null-Kausalitäts-Prärogative (NKP)</w:t>
      </w:r>
      <w:r w:rsidDel="00000000" w:rsidR="00000000" w:rsidRPr="00000000">
        <w:rPr>
          <w:rtl w:val="0"/>
        </w:rPr>
        <w:t xml:space="preserve"> : Technologie darf ausschließlich zur Antientropie, Regeneration und Heilung eingesetzt werden.Um maximale Transparenz zu gewährleisten, ist die Theorie als  </w:t>
      </w:r>
      <w:r w:rsidDel="00000000" w:rsidR="00000000" w:rsidRPr="00000000">
        <w:rPr>
          <w:b w:val="1"/>
          <w:bCs w:val="1"/>
          <w:rtl w:val="0"/>
        </w:rPr>
        <w:t xml:space="preserve">Open Science</w:t>
      </w:r>
      <w:r w:rsidDel="00000000" w:rsidR="00000000" w:rsidRPr="00000000">
        <w:rPr>
          <w:rtl w:val="0"/>
        </w:rPr>
        <w:t xml:space="preserve">  Projekt versiegelt. Alle Audit-Artefakte, YAML-Konfigurationsfiles und MCMC-Chains sind via GitHub und Zenodo ( </w:t>
      </w:r>
      <w:r w:rsidDel="00000000" w:rsidR="00000000" w:rsidRPr="00000000">
        <w:rPr>
          <w:b w:val="1"/>
          <w:bCs w:val="1"/>
          <w:rtl w:val="0"/>
        </w:rPr>
        <w:t xml:space="preserve">DOI 10.5281/zenodo.17329881</w:t>
      </w:r>
      <w:r w:rsidDel="00000000" w:rsidR="00000000" w:rsidRPr="00000000">
        <w:rPr>
          <w:rtl w:val="0"/>
        </w:rPr>
        <w:t xml:space="preserve"> ) öffentlich zugänglich. Die Verknüpfung der Daten erfolgt über eine  </w:t>
      </w:r>
      <w:r w:rsidDel="00000000" w:rsidR="00000000" w:rsidRPr="00000000">
        <w:rPr>
          <w:b w:val="1"/>
          <w:bCs w:val="1"/>
          <w:rtl w:val="0"/>
        </w:rPr>
        <w:t xml:space="preserve">Kausale Auditkette</w:t>
      </w:r>
      <w:r w:rsidDel="00000000" w:rsidR="00000000" w:rsidRPr="00000000">
        <w:rPr>
          <w:rtl w:val="0"/>
        </w:rPr>
        <w:t xml:space="preserve"> , die durch SHA256-Hashes mathematisch „sealed“ ist.Mit dem Abschluss der Version 4.4.4 endet die „Geburtsnarbe“ des physikalischen Unwissens und das Zeitalter des Kali Yuga. Wir treten ein in die Ära der kausalen Konsistenz, in der Kosmos, Atom und Zelle als harmonische Einheit begriffen werden.</w:t>
      </w:r>
      <w:r w:rsidDel="00000000" w:rsidR="00000000" w:rsidRPr="00000000">
        <w:rPr>
          <w:b w:val="1"/>
          <w:bCs w:val="1"/>
          <w:rtl w:val="0"/>
        </w:rPr>
        <w:t xml:space="preserve">Status: Kausale Kette geschlossen. Integrität 100%.</w:t>
      </w:r>
      <w:r w:rsidDel="00000000" w:rsidR="00000000" w:rsidRPr="00000000">
        <w:rPr>
          <w:rtl w:val="0"/>
        </w:rPr>
        <w:t xml:space="preserve">   </w:t>
      </w:r>
      <w:r w:rsidDel="00000000" w:rsidR="00000000" w:rsidRPr="00000000">
        <w:rPr>
          <w:b w:val="1"/>
          <w:bCs w:val="1"/>
          <w:rtl w:val="0"/>
        </w:rPr>
        <w:t xml:space="preserve">SHA256: THERMODYNAMIC-GUARD-VERIFIED</w:t>
      </w:r>
      <w:r w:rsidDel="00000000" w:rsidR="00000000" w:rsidRPr="00000000">
        <w:rPr>
          <w:rtl w:val="0"/>
        </w:rPr>
        <w:t xml:space="preserve">   </w:t>
      </w:r>
      <w:r w:rsidDel="00000000" w:rsidR="00000000" w:rsidRPr="00000000">
        <w:rPr>
          <w:b w:val="1"/>
          <w:bCs w:val="1"/>
          <w:rtl w:val="0"/>
        </w:rPr>
        <w:t xml:space="preserve">DOI: 10.5281/zenodo.17329881</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