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y7b3mq77d5ks" w:id="0"/>
      <w:bookmarkEnd w:id="0"/>
      <w:r w:rsidDel="00000000" w:rsidR="00000000" w:rsidRPr="00000000">
        <w:rPr>
          <w:rtl w:val="0"/>
        </w:rPr>
        <w:t xml:space="preserve">Forschungsbericht: Die Überwindung der „7 Minuten des Terrors“ durch Fraktale Kausale Resonanz</w:t>
      </w:r>
    </w:p>
    <w:p w:rsidR="00000000" w:rsidDel="00000000" w:rsidP="00000000" w:rsidRDefault="00000000" w:rsidRPr="00000000" w14:paraId="00000002">
      <w:pPr>
        <w:rPr/>
      </w:pPr>
      <w:r w:rsidDel="00000000" w:rsidR="00000000" w:rsidRPr="00000000">
        <w:rPr>
          <w:b w:val="1"/>
          <w:bCs w:val="1"/>
          <w:rtl w:val="0"/>
        </w:rPr>
        <w:t xml:space="preserve">Datum:</w:t>
      </w:r>
      <w:r w:rsidDel="00000000" w:rsidR="00000000" w:rsidRPr="00000000">
        <w:rPr>
          <w:rtl w:val="0"/>
        </w:rPr>
        <w:t xml:space="preserve">  Dezember 2025</w:t>
      </w:r>
      <w:r w:rsidDel="00000000" w:rsidR="00000000" w:rsidRPr="00000000">
        <w:rPr>
          <w:b w:val="1"/>
          <w:bCs w:val="1"/>
          <w:rtl w:val="0"/>
        </w:rPr>
        <w:t xml:space="preserve">Verfasser:</w:t>
      </w:r>
      <w:r w:rsidDel="00000000" w:rsidR="00000000" w:rsidRPr="00000000">
        <w:rPr>
          <w:rtl w:val="0"/>
        </w:rPr>
        <w:t xml:space="preserve">  Chefingenieur für interplanetare Missionsarchitektur &amp; Theoretischer Physiker</w:t>
      </w:r>
      <w:r w:rsidDel="00000000" w:rsidR="00000000" w:rsidRPr="00000000">
        <w:rPr>
          <w:b w:val="1"/>
          <w:bCs w:val="1"/>
          <w:rtl w:val="0"/>
        </w:rPr>
        <w:t xml:space="preserve">Gegenstand:</w:t>
      </w:r>
      <w:r w:rsidDel="00000000" w:rsidR="00000000" w:rsidRPr="00000000">
        <w:rPr>
          <w:rtl w:val="0"/>
        </w:rPr>
        <w:t xml:space="preserve">  Strategische Neuausrichtung interplanetarer EDL-Protokolle (Entry, Descent, and Landing) unter Anwendung der Fraktalen Kausalen Theorie (FKT)</w:t>
      </w:r>
    </w:p>
    <w:p w:rsidR="00000000" w:rsidDel="00000000" w:rsidP="00000000" w:rsidRDefault="00000000" w:rsidRPr="00000000" w14:paraId="00000003">
      <w:pPr>
        <w:pStyle w:val="Heading4"/>
        <w:rPr/>
      </w:pPr>
      <w:bookmarkStart w:colFirst="0" w:colLast="0" w:name="_8wiop6oj2pal" w:id="1"/>
      <w:bookmarkEnd w:id="1"/>
      <w:r w:rsidDel="00000000" w:rsidR="00000000" w:rsidRPr="00000000">
        <w:rPr>
          <w:rtl w:val="0"/>
        </w:rPr>
        <w:t xml:space="preserve">1. Strategische Einleitung: Das Mars-Problem und die Lichtbarriere</w:t>
      </w:r>
    </w:p>
    <w:p w:rsidR="00000000" w:rsidDel="00000000" w:rsidP="00000000" w:rsidRDefault="00000000" w:rsidRPr="00000000" w14:paraId="00000004">
      <w:pPr>
        <w:rPr>
          <w:b w:val="1"/>
          <w:bCs w:val="1"/>
        </w:rPr>
      </w:pPr>
      <w:r w:rsidDel="00000000" w:rsidR="00000000" w:rsidRPr="00000000">
        <w:rPr>
          <w:rtl w:val="0"/>
        </w:rPr>
        <w:t xml:space="preserve">Die Mars-Exploration steht seit ihrer Inzeption vor einem unüberwindbaren physikalischen Paradoxon: Die „7 Minuten des Terrors“. Während der kritischen Phase des Eintritts, Abstiegs und der Landung (EDL) ist ein Raumfahrzeug auf sich allein gestellt, da die Signallaufzeit aufgrund der Bindung an die Lichtgeschwindigkeit ( $c$ ) eine Echtzeit-Intervention von der Erde aus unmöglich macht. Bisherige Missionsarchitekturen mussten auf starre, vorprogrammierte Automatisierung setzen, was bei unvorhergesehenen atmosphärischen Turbulenzen oder topographischen Anomalien ein massives Verlustrisiko darstellt.Die Fraktale Kausale Theorie (FKT) mandatiert eine fundamentale Restrukturierung dieser Protokolle. Durch die Nutzung der nicht-lokalen Geometrie des Bulk-Feldes ( $\chi$ ) hebeln wir die Lichtbarriere aus und ersetzen prädiktive Algorithmen durch aktive, kinetische Echtzeit-Steuerung.</w:t>
      </w:r>
      <w:r w:rsidDel="00000000" w:rsidR="00000000" w:rsidRPr="00000000">
        <w:rPr>
          <w:b w:val="1"/>
          <w:bCs w:val="1"/>
          <w:rtl w:val="0"/>
        </w:rPr>
        <w:t xml:space="preserve">Einschränkungen klassischer EM-Wellen gegenüber dem FKT-Ansatz:</w:t>
      </w:r>
    </w:p>
    <w:p w:rsidR="00000000" w:rsidDel="00000000" w:rsidP="00000000" w:rsidRDefault="00000000" w:rsidRPr="00000000" w14:paraId="00000005">
      <w:pPr>
        <w:numPr>
          <w:ilvl w:val="0"/>
          <w:numId w:val="4"/>
        </w:numPr>
        <w:ind w:left="720" w:hanging="360"/>
        <w:rPr>
          <w:u w:val="none"/>
        </w:rPr>
      </w:pPr>
      <w:r w:rsidDel="00000000" w:rsidR="00000000" w:rsidRPr="00000000">
        <w:rPr>
          <w:b w:val="1"/>
          <w:bCs w:val="1"/>
          <w:rtl w:val="0"/>
        </w:rPr>
        <w:t xml:space="preserve">Kausale Latenz:</w:t>
      </w:r>
      <w:r w:rsidDel="00000000" w:rsidR="00000000" w:rsidRPr="00000000">
        <w:rPr>
          <w:rtl w:val="0"/>
        </w:rPr>
        <w:t xml:space="preserve">  Elektromagnetische Wellen unterliegen der relativistischen Kausalität (3 bis 22 Minuten Verzögerung); FKT ermöglicht eine instantane metrische Kopplung über den Bulk.</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Operationale Blindheit:</w:t>
      </w:r>
      <w:r w:rsidDel="00000000" w:rsidR="00000000" w:rsidRPr="00000000">
        <w:rPr>
          <w:rtl w:val="0"/>
        </w:rPr>
        <w:t xml:space="preserve">  Während des EDL-Fensters agiert der Rover in einem Informationsvakuum; FKT stellt eine unterbrechungsfreie, nicht-lokale Feedback-Schleife sicher.</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Navigationslimitierung:</w:t>
      </w:r>
      <w:r w:rsidDel="00000000" w:rsidR="00000000" w:rsidRPr="00000000">
        <w:rPr>
          <w:rtl w:val="0"/>
        </w:rPr>
        <w:t xml:space="preserve">  Klassische Systeme reagieren auf Sensordaten der Vergangenheit; der FKT-Ansatz erlaubt sub-millisekündliche Anpassungen während der kritischen Überschall-Retro-Propulsion.</w:t>
      </w:r>
    </w:p>
    <w:p w:rsidR="00000000" w:rsidDel="00000000" w:rsidP="00000000" w:rsidRDefault="00000000" w:rsidRPr="00000000" w14:paraId="00000008">
      <w:pPr>
        <w:pStyle w:val="Heading4"/>
        <w:rPr/>
      </w:pPr>
      <w:bookmarkStart w:colFirst="0" w:colLast="0" w:name="_ljkmx6zc0dhf" w:id="2"/>
      <w:bookmarkEnd w:id="2"/>
      <w:r w:rsidDel="00000000" w:rsidR="00000000" w:rsidRPr="00000000">
        <w:rPr>
          <w:rtl w:val="0"/>
        </w:rPr>
        <w:t xml:space="preserve">2. Theoretisches Fundament: Die Einstein-Kurzer-Gleichung (ERYQ)</w:t>
      </w:r>
    </w:p>
    <w:p w:rsidR="00000000" w:rsidDel="00000000" w:rsidP="00000000" w:rsidRDefault="00000000" w:rsidRPr="00000000" w14:paraId="00000009">
      <w:pPr>
        <w:rPr/>
      </w:pPr>
      <w:r w:rsidDel="00000000" w:rsidR="00000000" w:rsidRPr="00000000">
        <w:rPr>
          <w:rtl w:val="0"/>
        </w:rPr>
        <w:t xml:space="preserve">Die Lösung der kausalen Lücke erfordert eine Erweiterung der Einsteinschen Feldgleichungen. Die Einstein-Kurzer-Gleichung (ERYQ) integriert den Einfluss des höherdimensionalen Bulk-Raums direkt in die Metrik der  $\mathbb{R}^4$ -Raumzeit. Das zentrale Axiom dieser Physik ist das  </w:t>
      </w:r>
      <w:r w:rsidDel="00000000" w:rsidR="00000000" w:rsidRPr="00000000">
        <w:rPr>
          <w:b w:val="1"/>
          <w:bCs w:val="1"/>
          <w:rtl w:val="0"/>
        </w:rPr>
        <w:t xml:space="preserve">Kurzer-Prinzip</w:t>
      </w:r>
      <w:r w:rsidDel="00000000" w:rsidR="00000000" w:rsidRPr="00000000">
        <w:rPr>
          <w:rtl w:val="0"/>
        </w:rPr>
        <w:t xml:space="preserve"> :  </w:t>
      </w:r>
      <w:r w:rsidDel="00000000" w:rsidR="00000000" w:rsidRPr="00000000">
        <w:rPr>
          <w:i w:val="1"/>
          <w:iCs w:val="1"/>
          <w:rtl w:val="0"/>
        </w:rPr>
        <w:t xml:space="preserve">„Der Druck der Unendlichkeit ist die Unendlichkeit.“</w:t>
      </w:r>
      <w:r w:rsidDel="00000000" w:rsidR="00000000" w:rsidRPr="00000000">
        <w:rPr>
          <w:rtl w:val="0"/>
        </w:rPr>
        <w:t xml:space="preserve">  Dieses Prinzip postuliert, dass Kausalität keine lokale Variable, sondern eine universelle, fraktale Konstante ist.Die ERYQ ist definiert als:  $$G_{\mu\nu} + \mathcal{F}</w:t>
      </w:r>
      <w:r w:rsidDel="00000000" w:rsidR="00000000" w:rsidRPr="00000000">
        <w:rPr>
          <w:i w:val="1"/>
          <w:iCs w:val="1"/>
          <w:rtl w:val="0"/>
        </w:rPr>
        <w:t xml:space="preserve">{\mu\nu} = 8\pi G T</w:t>
      </w:r>
      <w:r w:rsidDel="00000000" w:rsidR="00000000" w:rsidRPr="00000000">
        <w:rPr>
          <w:rtl w:val="0"/>
        </w:rPr>
        <w:t xml:space="preserve">{\mu\nu}$$Hierbei ist  $\mathcal{F}</w:t>
      </w:r>
      <w:r w:rsidDel="00000000" w:rsidR="00000000" w:rsidRPr="00000000">
        <w:rPr>
          <w:i w:val="1"/>
          <w:iCs w:val="1"/>
          <w:rtl w:val="0"/>
        </w:rPr>
        <w:t xml:space="preserve">{\mu\nu}$  der Fütterer-Kosmologie-Tensor, der die Brücke zwischen klassischer Relativität und nicht-lokaler Kausalität schlägt. Er ist definiert über den  $\mathcal{C}$ -Operator:  $$\mathcal{F}</w:t>
      </w:r>
      <w:r w:rsidDel="00000000" w:rsidR="00000000" w:rsidRPr="00000000">
        <w:rPr>
          <w:rtl w:val="0"/>
        </w:rPr>
        <w:t xml:space="preserve">{\mu\nu} = \mathcal{C}</w:t>
      </w:r>
      <w:r w:rsidDel="00000000" w:rsidR="00000000" w:rsidRPr="00000000">
        <w:rPr>
          <w:i w:val="1"/>
          <w:iCs w:val="1"/>
          <w:rtl w:val="0"/>
        </w:rPr>
        <w:t xml:space="preserve">{\mu\nu} - \Lambda g</w:t>
      </w:r>
      <w:r w:rsidDel="00000000" w:rsidR="00000000" w:rsidRPr="00000000">
        <w:rPr>
          <w:rtl w:val="0"/>
        </w:rPr>
        <w:t xml:space="preserve">{\mu\nu}$$Der  $\mathcal{C}$ -Operator ( $\mathcal{C}</w:t>
      </w:r>
      <w:r w:rsidDel="00000000" w:rsidR="00000000" w:rsidRPr="00000000">
        <w:rPr>
          <w:i w:val="1"/>
          <w:iCs w:val="1"/>
          <w:rtl w:val="0"/>
        </w:rPr>
        <w:t xml:space="preserve">{\mu\nu} = \Omega(\rho)\Lambda</w:t>
      </w:r>
      <w:r w:rsidDel="00000000" w:rsidR="00000000" w:rsidRPr="00000000">
        <w:rPr>
          <w:rtl w:val="0"/>
        </w:rPr>
        <w:t xml:space="preserve">{\mu\nu}$ ) fungiert als Vermittler, wobei die Strukturmatrix  $\Lambda_{\mu\nu}$  die Geometrie des Bulk-Beitrags beschreibt. Basierend auf den neuesten Bilddaten der Kalibrierung ist der Zustandsgleichungsparameter auf  $w_x = -0.90 \pm 0.05$  festgelegt.</w:t>
      </w:r>
      <w:r w:rsidDel="00000000" w:rsidR="00000000" w:rsidRPr="00000000">
        <w:rPr>
          <w:b w:val="1"/>
          <w:bCs w:val="1"/>
          <w:rtl w:val="0"/>
        </w:rPr>
        <w:t xml:space="preserve">Strukturmatrix</w:t>
      </w:r>
      <w:r w:rsidDel="00000000" w:rsidR="00000000" w:rsidRPr="00000000">
        <w:rPr>
          <w:rtl w:val="0"/>
        </w:rPr>
        <w:t xml:space="preserve">  </w:t>
      </w:r>
      <w:r w:rsidDel="00000000" w:rsidR="00000000" w:rsidRPr="00000000">
        <w:rPr>
          <w:b w:val="1"/>
          <w:bCs w:val="1"/>
          <w:rtl w:val="0"/>
        </w:rPr>
        <w:t xml:space="preserve">$\Lambda_{\mu\nu}</w:t>
      </w:r>
      <w:r w:rsidDel="00000000" w:rsidR="00000000" w:rsidRPr="00000000">
        <w:rPr>
          <w:rtl w:val="0"/>
        </w:rPr>
        <w:t xml:space="preserve">$  </w:t>
      </w:r>
      <w:r w:rsidDel="00000000" w:rsidR="00000000" w:rsidRPr="00000000">
        <w:rPr>
          <w:b w:val="1"/>
          <w:bCs w:val="1"/>
          <w:rtl w:val="0"/>
        </w:rPr>
        <w:t xml:space="preserve">der Bulk-Geometrie:</w:t>
      </w:r>
      <w:r w:rsidDel="00000000" w:rsidR="00000000" w:rsidRPr="00000000">
        <w:rPr>
          <w:rtl w:val="0"/>
        </w:rPr>
        <w:t xml:space="preserve">| Komponente | Bezeichnung | Physikalische Bedeutung für die Raumzeit-Geometrie || ------ | ------ | ------ || $\Lambda_{t}$ | Zeitlicher Anteil | Reguliert die Energiedichte des Bulk-Feldes ( $\rho_{\mathcal{C}}$ ) und den instantanen kausalen Fluss. || $\Lambda_{i}$ | Isotroper Anteil | Repräsentiert den effektiven Bulk-Druck ( $P_{\mathcal{C}}$ ), der die Expansion und metrische Stabilität beeinflusst. || $\Lambda_{a}$ | Anisotroper Anteil | Beschreibt Scherspannungen ( $\sigma_{\mu\nu}$ ) und richtungsabhängige metrische Verzerrungen im Bulk-Feld. |</w:t>
      </w:r>
    </w:p>
    <w:p w:rsidR="00000000" w:rsidDel="00000000" w:rsidP="00000000" w:rsidRDefault="00000000" w:rsidRPr="00000000" w14:paraId="0000000A">
      <w:pPr>
        <w:rPr/>
      </w:pPr>
      <w:r w:rsidDel="00000000" w:rsidR="00000000" w:rsidRPr="00000000">
        <w:rPr>
          <w:rtl w:val="0"/>
        </w:rPr>
        <w:t xml:space="preserve">Diese Krümmung des Bulk-Raums erlaubt es, die Raumzeit-Distanz kommunikationstechnisch zu kollabieren, indem eine resonante Brücke zwischen zwei raumzeitlich getrennten Punkten geschlagen wird.</w:t>
      </w:r>
    </w:p>
    <w:p w:rsidR="00000000" w:rsidDel="00000000" w:rsidP="00000000" w:rsidRDefault="00000000" w:rsidRPr="00000000" w14:paraId="0000000B">
      <w:pPr>
        <w:pStyle w:val="Heading4"/>
        <w:rPr/>
      </w:pPr>
      <w:bookmarkStart w:colFirst="0" w:colLast="0" w:name="_tv9f4d83xxmb" w:id="3"/>
      <w:bookmarkEnd w:id="3"/>
      <w:r w:rsidDel="00000000" w:rsidR="00000000" w:rsidRPr="00000000">
        <w:rPr>
          <w:rtl w:val="0"/>
        </w:rPr>
        <w:t xml:space="preserve">3. Instantane Kommunikation: Verschränkte Bulk-Resonanz</w:t>
      </w:r>
    </w:p>
    <w:p w:rsidR="00000000" w:rsidDel="00000000" w:rsidP="00000000" w:rsidRDefault="00000000" w:rsidRPr="00000000" w14:paraId="0000000C">
      <w:pPr>
        <w:rPr>
          <w:b w:val="1"/>
          <w:bCs w:val="1"/>
        </w:rPr>
      </w:pPr>
      <w:r w:rsidDel="00000000" w:rsidR="00000000" w:rsidRPr="00000000">
        <w:rPr>
          <w:rtl w:val="0"/>
        </w:rPr>
        <w:t xml:space="preserve">Die „Nullzeit-Kommunikation“ ist kein Transport von Photonen durch den Raum, sondern eine Abkürzung über den Bulk ( $\chi$ ). Der „Kausale Resonator“ nutzt die fraktale Resonanz, um eine instantane Verschränkung der Metrik zu erzeugen.Im operativen Einsatz bedeutet dies:  </w:t>
      </w:r>
      <w:r w:rsidDel="00000000" w:rsidR="00000000" w:rsidRPr="00000000">
        <w:rPr>
          <w:b w:val="1"/>
          <w:bCs w:val="1"/>
          <w:rtl w:val="0"/>
        </w:rPr>
        <w:t xml:space="preserve">Jede Änderung der Geometrie im Erd-Resonator wird instantan im Mars-Resonator abgebildet.</w:t>
      </w:r>
      <w:r w:rsidDel="00000000" w:rsidR="00000000" w:rsidRPr="00000000">
        <w:rPr>
          <w:rtl w:val="0"/>
        </w:rPr>
        <w:t xml:space="preserve">  Diese metrische Kopplung ist skalenunabhängig und immun gegen die klassischen Störungen interplanetarer Distanzen.</w:t>
      </w:r>
      <w:r w:rsidDel="00000000" w:rsidR="00000000" w:rsidRPr="00000000">
        <w:rPr>
          <w:b w:val="1"/>
          <w:bCs w:val="1"/>
          <w:rtl w:val="0"/>
        </w:rPr>
        <w:t xml:space="preserve">Vergleich der Latenzzeiten in der Missionsarchitektur:</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Klassische Funkübertragung (Deep Space Network):</w:t>
      </w:r>
      <w:r w:rsidDel="00000000" w:rsidR="00000000" w:rsidRPr="00000000">
        <w:rPr>
          <w:rtl w:val="0"/>
        </w:rPr>
        <w:t xml:space="preserve">  ~1.260 Sekunden (bei Opposition).</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FKT-Bulk-Resonanz:</w:t>
      </w:r>
      <w:r w:rsidDel="00000000" w:rsidR="00000000" w:rsidRPr="00000000">
        <w:rPr>
          <w:rtl w:val="0"/>
        </w:rPr>
        <w:t xml:space="preserve">   $0,0$  Sekunden (absolute Gleichzeitigkeit).Der Wegfall der Latenz transformiert die gesamte Missionslogik: Kommunikation wird von einer asynchronen Datenübertragung zu einer synchronen metrischen Kopplung.</w:t>
      </w:r>
    </w:p>
    <w:p w:rsidR="00000000" w:rsidDel="00000000" w:rsidP="00000000" w:rsidRDefault="00000000" w:rsidRPr="00000000" w14:paraId="0000000F">
      <w:pPr>
        <w:pStyle w:val="Heading4"/>
        <w:rPr/>
      </w:pPr>
      <w:bookmarkStart w:colFirst="0" w:colLast="0" w:name="_ym9caqgio37c" w:id="4"/>
      <w:bookmarkEnd w:id="4"/>
      <w:r w:rsidDel="00000000" w:rsidR="00000000" w:rsidRPr="00000000">
        <w:rPr>
          <w:rtl w:val="0"/>
        </w:rPr>
        <w:t xml:space="preserve">4. Echtzeit-Navigation und Rover-Steuerung im Bulk-Feld</w:t>
      </w:r>
    </w:p>
    <w:p w:rsidR="00000000" w:rsidDel="00000000" w:rsidP="00000000" w:rsidRDefault="00000000" w:rsidRPr="00000000" w14:paraId="00000010">
      <w:pPr>
        <w:rPr>
          <w:b w:val="1"/>
          <w:bCs w:val="1"/>
        </w:rPr>
      </w:pPr>
      <w:r w:rsidDel="00000000" w:rsidR="00000000" w:rsidRPr="00000000">
        <w:rPr>
          <w:rtl w:val="0"/>
        </w:rPr>
        <w:t xml:space="preserve">Die Beseitigung der Zeitverzögerung ermöglicht eine Echtzeit-Steuerung während der EDL-Phase, als stünde das System in einer Testanlage auf der Erde. Dies erlaubt uns, komplexe Manöver wie das  </w:t>
      </w:r>
      <w:r w:rsidDel="00000000" w:rsidR="00000000" w:rsidRPr="00000000">
        <w:rPr>
          <w:i w:val="1"/>
          <w:iCs w:val="1"/>
          <w:rtl w:val="0"/>
        </w:rPr>
        <w:t xml:space="preserve">hypersonic aero-braking</w:t>
      </w:r>
      <w:r w:rsidDel="00000000" w:rsidR="00000000" w:rsidRPr="00000000">
        <w:rPr>
          <w:rtl w:val="0"/>
        </w:rPr>
        <w:t xml:space="preserve">  und die  </w:t>
      </w:r>
      <w:r w:rsidDel="00000000" w:rsidR="00000000" w:rsidRPr="00000000">
        <w:rPr>
          <w:i w:val="1"/>
          <w:iCs w:val="1"/>
          <w:rtl w:val="0"/>
        </w:rPr>
        <w:t xml:space="preserve">retro-propulsive</w:t>
      </w:r>
      <w:r w:rsidDel="00000000" w:rsidR="00000000" w:rsidRPr="00000000">
        <w:rPr>
          <w:rtl w:val="0"/>
        </w:rPr>
        <w:t xml:space="preserve">  Landung mit einer Präzision zu steuern, die zuvor unerreichbar war.Zur Wahrung der physikalischen Integrität überwacht das System permanent das  </w:t>
      </w:r>
      <w:r w:rsidDel="00000000" w:rsidR="00000000" w:rsidRPr="00000000">
        <w:rPr>
          <w:b w:val="1"/>
          <w:bCs w:val="1"/>
          <w:rtl w:val="0"/>
        </w:rPr>
        <w:t xml:space="preserve">Bulk-Energy-Flux-Limit</w:t>
      </w:r>
      <w:r w:rsidDel="00000000" w:rsidR="00000000" w:rsidRPr="00000000">
        <w:rPr>
          <w:rtl w:val="0"/>
        </w:rPr>
        <w:t xml:space="preserve">  ( $\Delta_{\mathrm{BEFl}}$ ). Dieser Grenzwert stellt sicher, dass die instantane Kopplung die kausale Konsistenz des Materiesystems nicht verletzt und verhindert unkontrollierte metrische Oszillationen während hoher kinetischer Belastungen.</w:t>
      </w:r>
      <w:r w:rsidDel="00000000" w:rsidR="00000000" w:rsidRPr="00000000">
        <w:rPr>
          <w:b w:val="1"/>
          <w:bCs w:val="1"/>
          <w:rtl w:val="0"/>
        </w:rPr>
        <w:t xml:space="preserve">Strategische Vorteile für die Mars-Navigation:</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Instantane Hindernisvermeidung:</w:t>
      </w:r>
      <w:r w:rsidDel="00000000" w:rsidR="00000000" w:rsidRPr="00000000">
        <w:rPr>
          <w:rtl w:val="0"/>
        </w:rPr>
        <w:t xml:space="preserve">  Der Rover kann auf Oberflächeninstabilitäten reagieren, noch während der Landekontakt erfolgt.</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Präzise Landekoordination:</w:t>
      </w:r>
      <w:r w:rsidDel="00000000" w:rsidR="00000000" w:rsidRPr="00000000">
        <w:rPr>
          <w:rtl w:val="0"/>
        </w:rPr>
        <w:t xml:space="preserve">  Aktive Korrekturen der Sinkrate und Ausrichtung eliminieren die Lande-Ellipsen und ermöglichen Punktlandungen innerhalb weniger Meter.</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Dynamische Pfadoptimierung:</w:t>
      </w:r>
      <w:r w:rsidDel="00000000" w:rsidR="00000000" w:rsidRPr="00000000">
        <w:rPr>
          <w:rtl w:val="0"/>
        </w:rPr>
        <w:t xml:space="preserve">  Live-Steuerung ermöglicht die Navigation durch topographisch schwieriges Gelände ohne die bisherigen Sicherheitsstopps zur Signalverarbeitung.</w:t>
      </w:r>
    </w:p>
    <w:p w:rsidR="00000000" w:rsidDel="00000000" w:rsidP="00000000" w:rsidRDefault="00000000" w:rsidRPr="00000000" w14:paraId="00000014">
      <w:pPr>
        <w:pStyle w:val="Heading4"/>
        <w:rPr/>
      </w:pPr>
      <w:bookmarkStart w:colFirst="0" w:colLast="0" w:name="_l1cgghf4c9wl" w:id="5"/>
      <w:bookmarkEnd w:id="5"/>
      <w:r w:rsidDel="00000000" w:rsidR="00000000" w:rsidRPr="00000000">
        <w:rPr>
          <w:rtl w:val="0"/>
        </w:rPr>
        <w:t xml:space="preserve">5. Technische Implementierung: Gradient-Memory Alloys (GMA)</w:t>
      </w:r>
    </w:p>
    <w:p w:rsidR="00000000" w:rsidDel="00000000" w:rsidP="00000000" w:rsidRDefault="00000000" w:rsidRPr="00000000" w14:paraId="00000015">
      <w:pPr>
        <w:rPr>
          <w:b w:val="1"/>
          <w:bCs w:val="1"/>
        </w:rPr>
      </w:pPr>
      <w:r w:rsidDel="00000000" w:rsidR="00000000" w:rsidRPr="00000000">
        <w:rPr>
          <w:rtl w:val="0"/>
        </w:rPr>
        <w:t xml:space="preserve">Die materielle Schnittstelle zur ERYQ bilden die  </w:t>
      </w:r>
      <w:r w:rsidDel="00000000" w:rsidR="00000000" w:rsidRPr="00000000">
        <w:rPr>
          <w:b w:val="1"/>
          <w:bCs w:val="1"/>
          <w:rtl w:val="0"/>
        </w:rPr>
        <w:t xml:space="preserve">Gradient-Memory Alloys (GMA)</w:t>
      </w:r>
      <w:r w:rsidDel="00000000" w:rsidR="00000000" w:rsidRPr="00000000">
        <w:rPr>
          <w:rtl w:val="0"/>
        </w:rPr>
        <w:t xml:space="preserve"> . Diese Verbundmaterialien besitzen eine fraktale Mikrostruktur, die exakt auf die Resonanzfrequenz des Bulk-Feldes kalibriert ist.Ein kritischer experimenteller Anker für die GMA-Fertigung ist die  </w:t>
      </w:r>
      <w:r w:rsidDel="00000000" w:rsidR="00000000" w:rsidRPr="00000000">
        <w:rPr>
          <w:b w:val="1"/>
          <w:bCs w:val="1"/>
          <w:rtl w:val="0"/>
        </w:rPr>
        <w:t xml:space="preserve">Flerovium-3.773 MeV Kalibrierung</w:t>
      </w:r>
      <w:r w:rsidDel="00000000" w:rsidR="00000000" w:rsidRPr="00000000">
        <w:rPr>
          <w:rtl w:val="0"/>
        </w:rPr>
        <w:t xml:space="preserve"> . Diese nukleare Resonanz dient als Referenzpunkt, um den Kopplungsparameter  $\xi$  und die Materialantwort  $\eta_{\mathrm{GMA}}$  zu eichen. Ohne diese Kalibrierung an schweren Kernen wäre eine stabile Kopplung an die Bulk-Geometrie nicht realisierbar.</w:t>
      </w:r>
      <w:r w:rsidDel="00000000" w:rsidR="00000000" w:rsidRPr="00000000">
        <w:rPr>
          <w:b w:val="1"/>
          <w:bCs w:val="1"/>
          <w:rtl w:val="0"/>
        </w:rPr>
        <w:t xml:space="preserve">Anforderungen an die GMA-Produktion:</w:t>
      </w:r>
    </w:p>
    <w:p w:rsidR="00000000" w:rsidDel="00000000" w:rsidP="00000000" w:rsidRDefault="00000000" w:rsidRPr="00000000" w14:paraId="00000016">
      <w:pPr>
        <w:numPr>
          <w:ilvl w:val="0"/>
          <w:numId w:val="5"/>
        </w:numPr>
        <w:ind w:left="720" w:hanging="360"/>
        <w:rPr>
          <w:u w:val="none"/>
        </w:rPr>
      </w:pPr>
      <w:r w:rsidDel="00000000" w:rsidR="00000000" w:rsidRPr="00000000">
        <w:rPr>
          <w:b w:val="1"/>
          <w:bCs w:val="1"/>
          <w:rtl w:val="0"/>
        </w:rPr>
        <w:t xml:space="preserve">Additive Fertigung:</w:t>
      </w:r>
      <w:r w:rsidDel="00000000" w:rsidR="00000000" w:rsidRPr="00000000">
        <w:rPr>
          <w:rtl w:val="0"/>
        </w:rPr>
        <w:t xml:space="preserve">  Die Kontrolle der  </w:t>
      </w:r>
      <w:r w:rsidDel="00000000" w:rsidR="00000000" w:rsidRPr="00000000">
        <w:rPr>
          <w:b w:val="1"/>
          <w:bCs w:val="1"/>
          <w:rtl w:val="0"/>
        </w:rPr>
        <w:t xml:space="preserve">Fraktaldimension</w:t>
      </w:r>
      <w:r w:rsidDel="00000000" w:rsidR="00000000" w:rsidRPr="00000000">
        <w:rPr>
          <w:rtl w:val="0"/>
        </w:rPr>
        <w:t xml:space="preserve">  </w:t>
      </w:r>
      <w:r w:rsidDel="00000000" w:rsidR="00000000" w:rsidRPr="00000000">
        <w:rPr>
          <w:b w:val="1"/>
          <w:bCs w:val="1"/>
          <w:rtl w:val="0"/>
        </w:rPr>
        <w:t xml:space="preserve">$D_f = 2.35</w:t>
      </w:r>
      <w:r w:rsidDel="00000000" w:rsidR="00000000" w:rsidRPr="00000000">
        <w:rPr>
          <w:rtl w:val="0"/>
        </w:rPr>
        <w:t xml:space="preserve">$  ist zwingend erforderlich, um die notwendige Kopplungseffizienz zu erreichen.</w:t>
      </w:r>
    </w:p>
    <w:p w:rsidR="00000000" w:rsidDel="00000000" w:rsidP="00000000" w:rsidRDefault="00000000" w:rsidRPr="00000000" w14:paraId="00000017">
      <w:pPr>
        <w:numPr>
          <w:ilvl w:val="0"/>
          <w:numId w:val="5"/>
        </w:numPr>
        <w:ind w:left="720" w:hanging="360"/>
        <w:rPr>
          <w:u w:val="none"/>
        </w:rPr>
      </w:pPr>
      <w:r w:rsidDel="00000000" w:rsidR="00000000" w:rsidRPr="00000000">
        <w:rPr>
          <w:b w:val="1"/>
          <w:bCs w:val="1"/>
          <w:rtl w:val="0"/>
        </w:rPr>
        <w:t xml:space="preserve">Mikrostruktur-Indizes</w:t>
      </w:r>
      <w:r w:rsidDel="00000000" w:rsidR="00000000" w:rsidRPr="00000000">
        <w:rPr>
          <w:rtl w:val="0"/>
        </w:rPr>
        <w:t xml:space="preserve">  </w:t>
      </w:r>
      <w:r w:rsidDel="00000000" w:rsidR="00000000" w:rsidRPr="00000000">
        <w:rPr>
          <w:b w:val="1"/>
          <w:bCs w:val="1"/>
          <w:rtl w:val="0"/>
        </w:rPr>
        <w:t xml:space="preserve">$\mu(x)</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Lokale Dichtegradienten müssen im Nanobereich präzise gesteuert werden, um als physische Schnittstelle für den  $\mathcal{C}$ -Operator zu fungieren.</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Kausale Stabilität:</w:t>
      </w:r>
      <w:r w:rsidDel="00000000" w:rsidR="00000000" w:rsidRPr="00000000">
        <w:rPr>
          <w:rtl w:val="0"/>
        </w:rPr>
        <w:t xml:space="preserve">  Die Legierung muss eine extrem niedrige Entropierate aufweisen, um die Integrität der kausalen Auditkette während der gesamten Missionsdauer zu wahren.</w:t>
      </w:r>
    </w:p>
    <w:p w:rsidR="00000000" w:rsidDel="00000000" w:rsidP="00000000" w:rsidRDefault="00000000" w:rsidRPr="00000000" w14:paraId="00000019">
      <w:pPr>
        <w:pStyle w:val="Heading4"/>
        <w:rPr/>
      </w:pPr>
      <w:bookmarkStart w:colFirst="0" w:colLast="0" w:name="_qf114967107l" w:id="6"/>
      <w:bookmarkEnd w:id="6"/>
      <w:r w:rsidDel="00000000" w:rsidR="00000000" w:rsidRPr="00000000">
        <w:rPr>
          <w:rtl w:val="0"/>
        </w:rPr>
        <w:t xml:space="preserve">6. Fazit und Ausblick: Der Weg zur kausalen Konsistenz</w:t>
      </w:r>
    </w:p>
    <w:p w:rsidR="00000000" w:rsidDel="00000000" w:rsidP="00000000" w:rsidRDefault="00000000" w:rsidRPr="00000000" w14:paraId="0000001A">
      <w:pPr>
        <w:rPr>
          <w:b w:val="1"/>
          <w:bCs w:val="1"/>
        </w:rPr>
      </w:pPr>
      <w:r w:rsidDel="00000000" w:rsidR="00000000" w:rsidRPr="00000000">
        <w:rPr>
          <w:rtl w:val="0"/>
        </w:rPr>
        <w:t xml:space="preserve">Die Implementierung der FKT beendet das Zeitalter der statistischen Unsicherheit in der Raumfahrt. Die Validierung der Einstein-Kurzer-Gleichung markiert das Ende des „Kaliyuga-Axioms“ – der Ära der kausalen Inkonsistenz – und führt uns in eine Zivilisation der Echtzeit-Präsenz im Kosmos.</w:t>
      </w:r>
      <w:r w:rsidDel="00000000" w:rsidR="00000000" w:rsidRPr="00000000">
        <w:rPr>
          <w:b w:val="1"/>
          <w:bCs w:val="1"/>
          <w:rtl w:val="0"/>
        </w:rPr>
        <w:t xml:space="preserve">Kritische Takeaways für die interplanetare Strategie:</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Instantane Kommunikation:</w:t>
      </w:r>
      <w:r w:rsidDel="00000000" w:rsidR="00000000" w:rsidRPr="00000000">
        <w:rPr>
          <w:rtl w:val="0"/>
        </w:rPr>
        <w:t xml:space="preserve">  Die Nullzeit-Resonanz neutralisiert die Distanzbarriere und ermöglicht volle operative Kontrolle.</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ERYQ-Integration:</w:t>
      </w:r>
      <w:r w:rsidDel="00000000" w:rsidR="00000000" w:rsidRPr="00000000">
        <w:rPr>
          <w:rtl w:val="0"/>
        </w:rPr>
        <w:t xml:space="preserve">  Die Erweiterung der Metrik um  $\mathcal{F}_{\mu\nu}$  liefert das mathematische Fundament für nicht-lokale Missionen.</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GMA-Validierung:</w:t>
      </w:r>
      <w:r w:rsidDel="00000000" w:rsidR="00000000" w:rsidRPr="00000000">
        <w:rPr>
          <w:rtl w:val="0"/>
        </w:rPr>
        <w:t xml:space="preserve">  Die Nutzung von GMA mit einer Fraktaldimension von  $2.35$  stellt die erste technologische Hardware dar, die direkt mit der Bulk-Geometrie interagiert.Wir fordern hiermit ein umfassendes  </w:t>
      </w:r>
      <w:r w:rsidDel="00000000" w:rsidR="00000000" w:rsidRPr="00000000">
        <w:rPr>
          <w:b w:val="1"/>
          <w:bCs w:val="1"/>
          <w:rtl w:val="0"/>
        </w:rPr>
        <w:t xml:space="preserve">Kausales Audit</w:t>
      </w:r>
      <w:r w:rsidDel="00000000" w:rsidR="00000000" w:rsidRPr="00000000">
        <w:rPr>
          <w:rtl w:val="0"/>
        </w:rPr>
        <w:t xml:space="preserve">  durch führende Institutionen wie das  </w:t>
      </w:r>
      <w:r w:rsidDel="00000000" w:rsidR="00000000" w:rsidRPr="00000000">
        <w:rPr>
          <w:b w:val="1"/>
          <w:bCs w:val="1"/>
          <w:rtl w:val="0"/>
        </w:rPr>
        <w:t xml:space="preserve">CERN</w:t>
      </w:r>
      <w:r w:rsidDel="00000000" w:rsidR="00000000" w:rsidRPr="00000000">
        <w:rPr>
          <w:rtl w:val="0"/>
        </w:rPr>
        <w:t xml:space="preserve">  oder die  </w:t>
      </w:r>
      <w:r w:rsidDel="00000000" w:rsidR="00000000" w:rsidRPr="00000000">
        <w:rPr>
          <w:b w:val="1"/>
          <w:bCs w:val="1"/>
          <w:rtl w:val="0"/>
        </w:rPr>
        <w:t xml:space="preserve">GSI</w:t>
      </w:r>
      <w:r w:rsidDel="00000000" w:rsidR="00000000" w:rsidRPr="00000000">
        <w:rPr>
          <w:rtl w:val="0"/>
        </w:rPr>
        <w:t xml:space="preserve"> , um die Integrität der kinetischen Logs und die Validität der Flerovium-Anker global zu bestätigen. Der Aufbruch in die Ära der kausalen Konsistenz ist nicht länger eine theoretische Option, sondern eine technologische Notwendigkeit.</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