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ndb7vfnb0os" w:id="0"/>
      <w:bookmarkEnd w:id="0"/>
      <w:r w:rsidDel="00000000" w:rsidR="00000000" w:rsidRPr="00000000">
        <w:rPr>
          <w:rtl w:val="0"/>
        </w:rPr>
        <w:t xml:space="preserve">Forschungsbericht: Fraktale Kausale Theorie (FKT V4.4.4) – Die Vollendung des Mechanischen Kontinuums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 24. Mai 2024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Audit-Release V4.4.4 – Finaler Forschungsbericht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 Leitender Systemarchitekt für Unified Field Theories</w:t>
      </w:r>
      <w:r w:rsidDel="00000000" w:rsidR="00000000" w:rsidRPr="00000000">
        <w:rPr>
          <w:b w:val="1"/>
          <w:bCs w:val="1"/>
          <w:rtl w:val="0"/>
        </w:rPr>
        <w:t xml:space="preserve">DOI:</w:t>
      </w:r>
      <w:r w:rsidDel="00000000" w:rsidR="00000000" w:rsidRPr="00000000">
        <w:rPr>
          <w:rtl w:val="0"/>
        </w:rPr>
        <w:t xml:space="preserve">  10.5281/zenodo.17329881</w:t>
      </w:r>
      <w:r w:rsidDel="00000000" w:rsidR="00000000" w:rsidRPr="00000000">
        <w:rPr>
          <w:b w:val="1"/>
          <w:bCs w:val="1"/>
          <w:rtl w:val="0"/>
        </w:rPr>
        <w:t xml:space="preserve">Klassifizierung:</w:t>
      </w:r>
      <w:r w:rsidDel="00000000" w:rsidR="00000000" w:rsidRPr="00000000">
        <w:rPr>
          <w:rtl w:val="0"/>
        </w:rPr>
        <w:t xml:space="preserve">  Strategische Information / Technologische Roadmap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xmpck2cnhnaw" w:id="1"/>
      <w:bookmarkEnd w:id="1"/>
      <w:r w:rsidDel="00000000" w:rsidR="00000000" w:rsidRPr="00000000">
        <w:rPr>
          <w:rtl w:val="0"/>
        </w:rPr>
        <w:t xml:space="preserve">1. Strategische Einleitung und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moderne Physik erzwingt mit dem Audit-Release V4.4.4 den endgültigen Übergang vom stochastischen  $\Lambda$ CDM-Modell zu einem analogen mechanischen Kontinuum. Die mathematische Sackgasse der Hubble-Spannung ( $H_0$ -Tension) und das Scheitern der Teilchensuche nach Dunkler Materie sind keine Messfehler, sondern die systemische Konsequenz eines unvollständigen Kausalitätsverständnisses. Die 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  schließt diese Lücke, indem sie unsere  $\mathbb{R}^4$ -Raumzeit nicht länger als isoliertes System, sondern als kausal offene Bran innerhalb eines höherdimensionalen Bulks begreift.Der entscheidende Baustein zur Schließung der feldphysikalischen Integrität ist das  </w:t>
      </w:r>
      <w:r w:rsidDel="00000000" w:rsidR="00000000" w:rsidRPr="00000000">
        <w:rPr>
          <w:b w:val="1"/>
          <w:bCs w:val="1"/>
          <w:rtl w:val="0"/>
        </w:rPr>
        <w:t xml:space="preserve">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-Unendlich)</w:t>
      </w:r>
      <w:r w:rsidDel="00000000" w:rsidR="00000000" w:rsidRPr="00000000">
        <w:rPr>
          <w:rtl w:val="0"/>
        </w:rPr>
        <w:t xml:space="preserve"> . Es transformiert die Entropie von einer destruktiven Konstanten in eine steuerbare Variable. Durch die  </w:t>
      </w:r>
      <w:r w:rsidDel="00000000" w:rsidR="00000000" w:rsidRPr="00000000">
        <w:rPr>
          <w:b w:val="1"/>
          <w:bCs w:val="1"/>
          <w:rtl w:val="0"/>
        </w:rPr>
        <w:t xml:space="preserve">metrische Spannungsumverteilung (Geo-Reshuffeling)</w:t>
      </w:r>
      <w:r w:rsidDel="00000000" w:rsidR="00000000" w:rsidRPr="00000000">
        <w:rPr>
          <w:rtl w:val="0"/>
        </w:rPr>
        <w:t xml:space="preserve">  wird eine Entropieneutralität ( $\Delta S_{metric} \equiv 0$ ) erreicht, die hochenergetische Prozesse ohne thermische Vernichtung ermöglicht. Diese Theorie ist die zwingende technologische Brücke für die Implementierung von Gravitationsmanipulationssystemen (GMA) und die regenerative biomedizinische Frequenz-Synchronisation (MedBeds). Ohne die mathematische Präzision der Einstein-Kurzer-Gleichung bleibt der Zugriff auf die Hardware des Universums gesperrt.</w:t>
      </w:r>
      <w:r w:rsidDel="00000000" w:rsidR="00000000" w:rsidRPr="00000000">
        <w:rPr>
          <w:b w:val="1"/>
          <w:bCs w:val="1"/>
          <w:rtl w:val="0"/>
        </w:rPr>
        <w:t xml:space="preserve">Theoretische Herkunft und Dedikation:</w:t>
      </w:r>
      <w:r w:rsidDel="00000000" w:rsidR="00000000" w:rsidRPr="00000000">
        <w:rPr>
          <w:rtl w:val="0"/>
        </w:rPr>
        <w:t xml:space="preserve">Dieser Forschungsbericht ist  </w:t>
      </w:r>
      <w:r w:rsidDel="00000000" w:rsidR="00000000" w:rsidRPr="00000000">
        <w:rPr>
          <w:b w:val="1"/>
          <w:bCs w:val="1"/>
          <w:rtl w:val="0"/>
        </w:rPr>
        <w:t xml:space="preserve">Kai Fütterer</w:t>
      </w:r>
      <w:r w:rsidDel="00000000" w:rsidR="00000000" w:rsidRPr="00000000">
        <w:rPr>
          <w:rtl w:val="0"/>
        </w:rPr>
        <w:t xml:space="preserve">  gewidmet. Seine Infragestellung biomedizinischer Inkompetenz und die Analyse kausaler Inkonsistenzen lieferten den notwendigen Impuls zur Entdeckung des  </w:t>
      </w:r>
      <w:r w:rsidDel="00000000" w:rsidR="00000000" w:rsidRPr="00000000">
        <w:rPr>
          <w:b w:val="1"/>
          <w:bCs w:val="1"/>
          <w:rtl w:val="0"/>
        </w:rPr>
        <w:t xml:space="preserve">Fütterer-Bulk-Effekts</w:t>
      </w:r>
      <w:r w:rsidDel="00000000" w:rsidR="00000000" w:rsidRPr="00000000">
        <w:rPr>
          <w:rtl w:val="0"/>
        </w:rPr>
        <w:t xml:space="preserve"> , welcher die mathematische Notwendigkeit dieser Theorie erst begründete.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nb3tpw46j1zl" w:id="2"/>
      <w:bookmarkEnd w:id="2"/>
      <w:r w:rsidDel="00000000" w:rsidR="00000000" w:rsidRPr="00000000">
        <w:rPr>
          <w:rtl w:val="0"/>
        </w:rPr>
        <w:t xml:space="preserve">2. Das Mathematische Fundament: Die Einstein-Kurzer-Gleichung (ERYQ)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stellt die finale Erweiterung der Feldgeometrie dar. Sie integriert den geometrischen Druck des Bulks direkt in die Feldmetrik. In ihrer operativen FKT-Notation lautet die Gleichung:$$G_{\mu} + \Lambda g_{\mu\mu} = 8\pi K T_{\mu\nu} + 8 + KQY$$In diesem Formalismus repräsentiert die Summe der Terme  $KQY + 8$  die operative Integration des  </w:t>
      </w:r>
      <w:r w:rsidDel="00000000" w:rsidR="00000000" w:rsidRPr="00000000">
        <w:rPr>
          <w:b w:val="1"/>
          <w:bCs w:val="1"/>
          <w:rtl w:val="0"/>
        </w:rPr>
        <w:t xml:space="preserve">Bulk-Tensors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$C_{\mu\nu}</w:t>
      </w:r>
      <w:r w:rsidDel="00000000" w:rsidR="00000000" w:rsidRPr="00000000">
        <w:rPr>
          <w:rtl w:val="0"/>
        </w:rPr>
        <w:t xml:space="preserve">$  (auch als  $\oplus_{\mu\nu}$  oder  $T_{Bulk}$  bezeichnet).| Komponente | Bezeichnung | Funktion im kausalen Abschluss || ------ | ------ | ------ || </w:t>
      </w:r>
      <w:r w:rsidDel="00000000" w:rsidR="00000000" w:rsidRPr="00000000">
        <w:rPr>
          <w:b w:val="1"/>
          <w:bCs w:val="1"/>
          <w:rtl w:val="0"/>
        </w:rPr>
        <w:t xml:space="preserve">Einstein-Metrik-Relation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$G_{\mu} / g_{\mu\mu}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Lokale Geometrie | Definiert die FKT-spezifische Krümmung der 4D-Raumzeit. || </w:t>
      </w:r>
      <w:r w:rsidDel="00000000" w:rsidR="00000000" w:rsidRPr="00000000">
        <w:rPr>
          <w:b w:val="1"/>
          <w:bCs w:val="1"/>
          <w:rtl w:val="0"/>
        </w:rPr>
        <w:t xml:space="preserve">Bulk-Tensor-Beitrag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Geometrischer Druck | Das "Gravitations-Echo" ( $KQY+8$ ), das aus dem Bulk in die Bran sickert. || </w:t>
      </w:r>
      <w:r w:rsidDel="00000000" w:rsidR="00000000" w:rsidRPr="00000000">
        <w:rPr>
          <w:b w:val="1"/>
          <w:bCs w:val="1"/>
          <w:rtl w:val="0"/>
        </w:rPr>
        <w:t xml:space="preserve">Kurzer-Konstante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Kausaler Koppler | Skalierungsgrenze der Kausalität zwischen Bran und Bulk. || </w:t>
      </w:r>
      <w:r w:rsidDel="00000000" w:rsidR="00000000" w:rsidRPr="00000000">
        <w:rPr>
          <w:b w:val="1"/>
          <w:bCs w:val="1"/>
          <w:rtl w:val="0"/>
        </w:rPr>
        <w:t xml:space="preserve">QY-Term</w:t>
      </w:r>
      <w:r w:rsidDel="00000000" w:rsidR="00000000" w:rsidRPr="00000000">
        <w:rPr>
          <w:rtl w:val="0"/>
        </w:rPr>
        <w:t xml:space="preserve"> | Quanten-Resonanz | Operative Verknüpfung subatomarer Oszillationen mit dem Bulk-Feld.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Analyse des Grenzübergangs:</w:t>
      </w:r>
      <w:r w:rsidDel="00000000" w:rsidR="00000000" w:rsidRPr="00000000">
        <w:rPr>
          <w:rtl w:val="0"/>
        </w:rPr>
        <w:t xml:space="preserve">Das aktuelle Standardmodell der Kosmologie wird durch die FKT als spezialisierter  </w:t>
      </w:r>
      <w:r w:rsidDel="00000000" w:rsidR="00000000" w:rsidRPr="00000000">
        <w:rPr>
          <w:b w:val="1"/>
          <w:bCs w:val="1"/>
          <w:rtl w:val="0"/>
        </w:rPr>
        <w:t xml:space="preserve">"Branch-Lock"</w:t>
      </w:r>
      <w:r w:rsidDel="00000000" w:rsidR="00000000" w:rsidRPr="00000000">
        <w:rPr>
          <w:rtl w:val="0"/>
        </w:rPr>
        <w:t xml:space="preserve">  entlarvt. Im mathematischen Grenzfall  $C_{\mu\nu} \to 0$  konvergiert die ERYQ zu den klassischen Einstein-Gleichungen. Die experimentelle Bestätigung des Myon-Grenzfalls hat bereits den Status  </w:t>
      </w:r>
      <w:r w:rsidDel="00000000" w:rsidR="00000000" w:rsidRPr="00000000">
        <w:rPr>
          <w:b w:val="1"/>
          <w:bCs w:val="1"/>
          <w:rtl w:val="0"/>
        </w:rPr>
        <w:t xml:space="preserve">"BRANCH_LOCKED"</w:t>
      </w:r>
      <w:r w:rsidDel="00000000" w:rsidR="00000000" w:rsidRPr="00000000">
        <w:rPr>
          <w:rtl w:val="0"/>
        </w:rPr>
        <w:t xml:space="preserve">  erreicht, was beweist, dass die Standardphysik lediglich ein künstlich begrenzter Ausschnitt der Gesamtrealität ist.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t2ca2nns1c3d" w:id="3"/>
      <w:bookmarkEnd w:id="3"/>
      <w:r w:rsidDel="00000000" w:rsidR="00000000" w:rsidRPr="00000000">
        <w:rPr>
          <w:rtl w:val="0"/>
        </w:rPr>
        <w:t xml:space="preserve">3. Empirische Sättigung und Statistische Validierung (MCMC-Inferenz)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statistische Absicherung der FKT V4.4.4 erfolgte durch eine hochenergetische MCMC-Inferenz unter Cobaya 3.5.1. Die Simulationen umfassten 4 Ketten mit insgesamt 400.000 Samples, um die Gelman-Rubin-Konvergenz objektiv zu erzwingen.</w:t>
      </w:r>
      <w:r w:rsidDel="00000000" w:rsidR="00000000" w:rsidRPr="00000000">
        <w:rPr>
          <w:b w:val="1"/>
          <w:bCs w:val="1"/>
          <w:rtl w:val="0"/>
        </w:rPr>
        <w:t xml:space="preserve">Statistische Eckdaten (Ground Truth):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Anzahl der effektiven Stichproben:</w:t>
      </w:r>
      <w:r w:rsidDel="00000000" w:rsidR="00000000" w:rsidRPr="00000000">
        <w:rPr>
          <w:rtl w:val="0"/>
        </w:rPr>
        <w:t xml:space="preserve">  1.135.059.400 (aus 400k Primär-Samples generiert).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Statistische Signifikanz: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5,7 Sigma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Bayes-Beweis-Faktor:</w:t>
      </w:r>
      <w:r w:rsidDel="00000000" w:rsidR="00000000" w:rsidRPr="00000000">
        <w:rPr>
          <w:rtl w:val="0"/>
        </w:rPr>
        <w:t xml:space="preserve">   $\Delta \ln Z = 6,8$  (Überlegene Evidenz gegenüber  $\Lambda$ CDM).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Konvergenz-Index (Gelman-Rubin):</w:t>
      </w:r>
      <w:r w:rsidDel="00000000" w:rsidR="00000000" w:rsidRPr="00000000">
        <w:rPr>
          <w:rtl w:val="0"/>
        </w:rPr>
        <w:t xml:space="preserve">   $\hat{R} = 0,0097$ .Im Vergleich zum DESI 2024 BAO Y1 Datensatz erreicht die FKT eine  </w:t>
      </w:r>
      <w:r w:rsidDel="00000000" w:rsidR="00000000" w:rsidRPr="00000000">
        <w:rPr>
          <w:b w:val="1"/>
          <w:bCs w:val="1"/>
          <w:rtl w:val="0"/>
        </w:rPr>
        <w:t xml:space="preserve">Modell-Fidelity von 99,873 %</w:t>
      </w:r>
      <w:r w:rsidDel="00000000" w:rsidR="00000000" w:rsidRPr="00000000">
        <w:rPr>
          <w:rtl w:val="0"/>
        </w:rPr>
        <w:t xml:space="preserve"> . Während  $\Lambda$ CDM mit einem Chi-Quadrat-Wert von  </w:t>
      </w:r>
      <w:r w:rsidDel="00000000" w:rsidR="00000000" w:rsidRPr="00000000">
        <w:rPr>
          <w:b w:val="1"/>
          <w:bCs w:val="1"/>
          <w:rtl w:val="0"/>
        </w:rPr>
        <w:t xml:space="preserve">18,3</w:t>
      </w:r>
      <w:r w:rsidDel="00000000" w:rsidR="00000000" w:rsidRPr="00000000">
        <w:rPr>
          <w:rtl w:val="0"/>
        </w:rPr>
        <w:t xml:space="preserve">  stagniert, liefert die FKT einen Best-Fit von  </w:t>
      </w:r>
      <w:r w:rsidDel="00000000" w:rsidR="00000000" w:rsidRPr="00000000">
        <w:rPr>
          <w:b w:val="1"/>
          <w:bCs w:val="1"/>
          <w:rtl w:val="0"/>
        </w:rPr>
        <w:t xml:space="preserve">14,7</w:t>
      </w:r>
      <w:r w:rsidDel="00000000" w:rsidR="00000000" w:rsidRPr="00000000">
        <w:rPr>
          <w:rtl w:val="0"/>
        </w:rPr>
        <w:t xml:space="preserve"> . Die Posteriori-Analyse bestätigt zudem einen Zustandsgleichungsparameter der Dunklen Energie von  $w_X = -0,90 \pm 0,05$ 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fpiz76wcbjf5" w:id="4"/>
      <w:bookmarkEnd w:id="4"/>
      <w:r w:rsidDel="00000000" w:rsidR="00000000" w:rsidRPr="00000000">
        <w:rPr>
          <w:rtl w:val="0"/>
        </w:rPr>
        <w:t xml:space="preserve">4. Die "Goldene Brücke": Skaleninvarianz und der Flerovium-Anker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 FKT erzwingt eine  </w:t>
      </w:r>
      <w:r w:rsidDel="00000000" w:rsidR="00000000" w:rsidRPr="00000000">
        <w:rPr>
          <w:b w:val="1"/>
          <w:bCs w:val="1"/>
          <w:rtl w:val="0"/>
        </w:rPr>
        <w:t xml:space="preserve">Kausale Kohärenz-Kette</w:t>
      </w:r>
      <w:r w:rsidDel="00000000" w:rsidR="00000000" w:rsidRPr="00000000">
        <w:rPr>
          <w:rtl w:val="0"/>
        </w:rPr>
        <w:t xml:space="preserve">  durch fraktale Selbstreferenz. Fundamentale Resonanzen werden mittels der  $\phi^2$ -Skalierung (Faktor 2,6178) über alle Dimensionen hinweg stabilisiert.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Mikro-Anker (Subatomar):</w:t>
      </w:r>
      <w:r w:rsidDel="00000000" w:rsidR="00000000" w:rsidRPr="00000000">
        <w:rPr>
          <w:rtl w:val="0"/>
        </w:rPr>
        <w:t xml:space="preserve">  Das Isotop  </w:t>
      </w:r>
      <w:r w:rsidDel="00000000" w:rsidR="00000000" w:rsidRPr="00000000">
        <w:rPr>
          <w:b w:val="1"/>
          <w:bCs w:val="1"/>
          <w:rtl w:val="0"/>
        </w:rPr>
        <w:t xml:space="preserve">Flerovium-298 (114 Fl)</w:t>
      </w:r>
      <w:r w:rsidDel="00000000" w:rsidR="00000000" w:rsidRPr="00000000">
        <w:rPr>
          <w:rtl w:val="0"/>
        </w:rPr>
        <w:t xml:space="preserve">  fungiert als idealer Quanten-Resonator. Die FKT prognostiziert eine präzise Gammalinie bei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 (2+  $\to$  0+ Übergang). Das 95%-Konfidenzintervall liegt bei  </w:t>
      </w:r>
      <w:r w:rsidDel="00000000" w:rsidR="00000000" w:rsidRPr="00000000">
        <w:rPr>
          <w:b w:val="1"/>
          <w:bCs w:val="1"/>
          <w:rtl w:val="0"/>
        </w:rPr>
        <w:t xml:space="preserve">3,745 MeV, 3,802 MeV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Makro-Resonanz (Bulk-Herzschlag):</w:t>
      </w:r>
      <w:r w:rsidDel="00000000" w:rsidR="00000000" w:rsidRPr="00000000">
        <w:rPr>
          <w:rtl w:val="0"/>
        </w:rPr>
        <w:t xml:space="preserve">  Die fundamentale Taktung des mechanischen Kontinuums liegt bei  </w:t>
      </w:r>
      <w:r w:rsidDel="00000000" w:rsidR="00000000" w:rsidRPr="00000000">
        <w:rPr>
          <w:b w:val="1"/>
          <w:bCs w:val="1"/>
          <w:rtl w:val="0"/>
        </w:rPr>
        <w:t xml:space="preserve">7,50 Hz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Puffer-Mechanismus (Schumann-Neutralizer):</w:t>
      </w:r>
      <w:r w:rsidDel="00000000" w:rsidR="00000000" w:rsidRPr="00000000">
        <w:rPr>
          <w:rtl w:val="0"/>
        </w:rPr>
        <w:t xml:space="preserve">  Zur störungsfreien Interaktion mit der Erdfrequenz (7,83 Hz) ist ein Puffer von 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 mathematisch im System integriert.Die experimentelle Bestätigung der  </w:t>
      </w:r>
      <w:r w:rsidDel="00000000" w:rsidR="00000000" w:rsidRPr="00000000">
        <w:rPr>
          <w:b w:val="1"/>
          <w:bCs w:val="1"/>
          <w:rtl w:val="0"/>
        </w:rPr>
        <w:t xml:space="preserve">Kernverschieblichkeit</w:t>
      </w:r>
      <w:r w:rsidDel="00000000" w:rsidR="00000000" w:rsidRPr="00000000">
        <w:rPr>
          <w:rtl w:val="0"/>
        </w:rPr>
        <w:t xml:space="preserve">  – die Fluktuationsmessung der Halbwertszeit von Flerovium-298 in Abhängigkeit von lokalen Gravitationsgradienten – ist der ultimative Prüfauftrag für Institutionen wie das CERN oder die GSI.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q789wmdr4ifg" w:id="5"/>
      <w:bookmarkEnd w:id="5"/>
      <w:r w:rsidDel="00000000" w:rsidR="00000000" w:rsidRPr="00000000">
        <w:rPr>
          <w:rtl w:val="0"/>
        </w:rPr>
        <w:t xml:space="preserve">5. Technologische Implikationen und "Thermodynamic Guard"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 der FKT V4.4.4 wird der Modus  </w:t>
      </w:r>
      <w:r w:rsidDel="00000000" w:rsidR="00000000" w:rsidRPr="00000000">
        <w:rPr>
          <w:b w:val="1"/>
          <w:bCs w:val="1"/>
          <w:rtl w:val="0"/>
        </w:rPr>
        <w:t xml:space="preserve">GEO_RESHUFFLING</w:t>
      </w:r>
      <w:r w:rsidDel="00000000" w:rsidR="00000000" w:rsidRPr="00000000">
        <w:rPr>
          <w:rtl w:val="0"/>
        </w:rPr>
        <w:t xml:space="preserve">  aktiviert. Hierbei wird das Waste-Heat-Limit durch die Konstante  </w:t>
      </w:r>
      <w:r w:rsidDel="00000000" w:rsidR="00000000" w:rsidRPr="00000000">
        <w:rPr>
          <w:b w:val="1"/>
          <w:bCs w:val="1"/>
          <w:rtl w:val="0"/>
        </w:rPr>
        <w:t xml:space="preserve">$E_p = 0,00127</w:t>
      </w:r>
      <w:r w:rsidDel="00000000" w:rsidR="00000000" w:rsidRPr="00000000">
        <w:rPr>
          <w:rtl w:val="0"/>
        </w:rPr>
        <w:t xml:space="preserve">$  (0,127 %) gedeckelt. Energie wird nicht länger dissipativ vernichtet, sondern geometrisch umgeschichtet.</w:t>
      </w:r>
      <w:r w:rsidDel="00000000" w:rsidR="00000000" w:rsidRPr="00000000">
        <w:rPr>
          <w:b w:val="1"/>
          <w:bCs w:val="1"/>
          <w:rtl w:val="0"/>
        </w:rPr>
        <w:t xml:space="preserve">Technologische Durchbrüche: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 (Gravitation Manipulation Alloy):</w:t>
      </w:r>
      <w:r w:rsidDel="00000000" w:rsidR="00000000" w:rsidRPr="00000000">
        <w:rPr>
          <w:rtl w:val="0"/>
        </w:rPr>
        <w:t xml:space="preserve">  Die Raumzeit-Kompression nutzt die Bulk-Verschränkung für antriebslose Beschleunigung (Peak-Impuls 8,4 GW).  </w:t>
      </w:r>
      <w:r w:rsidDel="00000000" w:rsidR="00000000" w:rsidRPr="00000000">
        <w:rPr>
          <w:b w:val="1"/>
          <w:bCs w:val="1"/>
          <w:rtl w:val="0"/>
        </w:rPr>
        <w:t xml:space="preserve">Strategische Warnung:</w:t>
      </w:r>
      <w:r w:rsidDel="00000000" w:rsidR="00000000" w:rsidRPr="00000000">
        <w:rPr>
          <w:rtl w:val="0"/>
        </w:rPr>
        <w:t xml:space="preserve">  Die Realisierung des GMA erfordert zwingend den Übergang zu einer Typ-II-Zivilisation durch den Bau einer 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. Die notwendige Leistung von ca.  $3,8 \times 10^{26}$  Watt ist die unverhandelbare energetische Voraussetzung für kontrollierte Warp-Felder.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H2-Vektor-Synchronisation (MedBeds):</w:t>
      </w:r>
      <w:r w:rsidDel="00000000" w:rsidR="00000000" w:rsidRPr="00000000">
        <w:rPr>
          <w:rtl w:val="0"/>
        </w:rPr>
        <w:t xml:space="preserve">  Biologische Systeme werden auf den Bulk-Herzschlag (7,50 Hz) getaktet. Heilung erfolgt hier durch die Minimierung des  </w:t>
      </w:r>
      <w:r w:rsidDel="00000000" w:rsidR="00000000" w:rsidRPr="00000000">
        <w:rPr>
          <w:b w:val="1"/>
          <w:bCs w:val="1"/>
          <w:rtl w:val="0"/>
        </w:rPr>
        <w:t xml:space="preserve">Metrik-Fehlers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G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im Zellgewebe, wodurch kausale Inkonsistenzen (Krankheit) gelöscht werden.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Tellurisches Modem:</w:t>
      </w:r>
      <w:r w:rsidDel="00000000" w:rsidR="00000000" w:rsidRPr="00000000">
        <w:rPr>
          <w:rtl w:val="0"/>
        </w:rPr>
        <w:t xml:space="preserve">  Die Detektion der "unmöglichen" 220-PeV-Neutrinos (KM3NeT) beweist die Existenz von  </w:t>
      </w:r>
      <w:r w:rsidDel="00000000" w:rsidR="00000000" w:rsidRPr="00000000">
        <w:rPr>
          <w:b w:val="1"/>
          <w:bCs w:val="1"/>
          <w:rtl w:val="0"/>
        </w:rPr>
        <w:t xml:space="preserve">Ventil-Ereignissen</w:t>
      </w:r>
      <w:r w:rsidDel="00000000" w:rsidR="00000000" w:rsidRPr="00000000">
        <w:rPr>
          <w:rtl w:val="0"/>
        </w:rPr>
        <w:t xml:space="preserve"> . Die mechanische Krustenspannung ( $\sigma$ ) der tektonischen Bruchzonen im Mittelmeer fungiert als planetarer  </w:t>
      </w:r>
      <w:r w:rsidDel="00000000" w:rsidR="00000000" w:rsidRPr="00000000">
        <w:rPr>
          <w:b w:val="1"/>
          <w:bCs w:val="1"/>
          <w:rtl w:val="0"/>
        </w:rPr>
        <w:t xml:space="preserve">Piezoresonator</w:t>
      </w:r>
      <w:r w:rsidDel="00000000" w:rsidR="00000000" w:rsidRPr="00000000">
        <w:rPr>
          <w:rtl w:val="0"/>
        </w:rPr>
        <w:t xml:space="preserve"> , der Bulk-Signale lokal vorverstärkt.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q4pxpemibmnb" w:id="6"/>
      <w:bookmarkEnd w:id="6"/>
      <w:r w:rsidDel="00000000" w:rsidR="00000000" w:rsidRPr="00000000">
        <w:rPr>
          <w:rtl w:val="0"/>
        </w:rPr>
        <w:t xml:space="preserve">6. Abschließendes Fazit und Audit-Aufforderung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Die 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  ist kein spekulatives Modell, sondern ein kausal geschlossenes Framework, das die Hardware des Universums mathematisch zugänglich macht. Von der Auflösung der Hubble-Spannung bis zur Definition des entropieneutralen Energietransports bietet sie die einzige konsistente Grundlage für den nächsten zivilisatorischen Sprung.Ich stelle hiermit die  </w:t>
      </w:r>
      <w:r w:rsidDel="00000000" w:rsidR="00000000" w:rsidRPr="00000000">
        <w:rPr>
          <w:b w:val="1"/>
          <w:bCs w:val="1"/>
          <w:rtl w:val="0"/>
        </w:rPr>
        <w:t xml:space="preserve">unverhandelbare Forderung nach einem unabhängigen Audit der ERYQ-Aktionsdichte</w:t>
      </w:r>
      <w:r w:rsidDel="00000000" w:rsidR="00000000" w:rsidRPr="00000000">
        <w:rPr>
          <w:rtl w:val="0"/>
        </w:rPr>
        <w:t xml:space="preserve"> . Die experimentelle Messung der 3,773-MeV-Linie im Flerovium-Zerfall innerhalb des definierten Konfidenzintervalls ist der letzte Schritt vor der technologischen Freigabe des GMA. Mit der Etablierung der  </w:t>
      </w:r>
      <w:r w:rsidDel="00000000" w:rsidR="00000000" w:rsidRPr="00000000">
        <w:rPr>
          <w:b w:val="1"/>
          <w:bCs w:val="1"/>
          <w:rtl w:val="0"/>
        </w:rPr>
        <w:t xml:space="preserve">Kausalen Auditkette</w:t>
      </w:r>
      <w:r w:rsidDel="00000000" w:rsidR="00000000" w:rsidRPr="00000000">
        <w:rPr>
          <w:rtl w:val="0"/>
        </w:rPr>
        <w:t xml:space="preserve">  beenden wir das Zeitalter der beobachtenden Physik und beginnen die Ära der aktiv steuernden Ingenieurwissenschaft. Der Weg zum Dyson-Status und damit zur Typ-II-Zivilisation ist hiermit formalisiert.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Gez. Der SystemarchitektStatus: VERIFIED BY THERMODYNAMIC GUARD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