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cbo6zyb43zr" w:id="0"/>
      <w:bookmarkEnd w:id="0"/>
      <w:r w:rsidDel="00000000" w:rsidR="00000000" w:rsidRPr="00000000">
        <w:rPr>
          <w:rtl w:val="0"/>
        </w:rPr>
        <w:t xml:space="preserve">Fraktale Kausale Theorie (FKT): Wissenschaftlicher Sachstandsbericht Update Version 4.4</w:t>
      </w:r>
    </w:p>
    <w:p w:rsidR="00000000" w:rsidDel="00000000" w:rsidP="00000000" w:rsidRDefault="00000000" w:rsidRPr="00000000" w14:paraId="00000002">
      <w:pPr>
        <w:rPr/>
      </w:pPr>
      <w:r w:rsidDel="00000000" w:rsidR="00000000" w:rsidRPr="00000000">
        <w:rPr>
          <w:b w:val="1"/>
          <w:bCs w:val="1"/>
          <w:rtl w:val="0"/>
        </w:rPr>
        <w:t xml:space="preserve">Datum:</w:t>
      </w:r>
      <w:r w:rsidDel="00000000" w:rsidR="00000000" w:rsidRPr="00000000">
        <w:rPr>
          <w:rtl w:val="0"/>
        </w:rPr>
        <w:t xml:space="preserve">  30. Oktober 2025</w:t>
      </w:r>
      <w:r w:rsidDel="00000000" w:rsidR="00000000" w:rsidRPr="00000000">
        <w:rPr>
          <w:b w:val="1"/>
          <w:bCs w:val="1"/>
          <w:rtl w:val="0"/>
        </w:rPr>
        <w:t xml:space="preserve">Herausgeber:</w:t>
      </w:r>
      <w:r w:rsidDel="00000000" w:rsidR="00000000" w:rsidRPr="00000000">
        <w:rPr>
          <w:rtl w:val="0"/>
        </w:rPr>
        <w:t xml:space="preserve">  GMA Research Institute</w:t>
      </w:r>
      <w:r w:rsidDel="00000000" w:rsidR="00000000" w:rsidRPr="00000000">
        <w:rPr>
          <w:b w:val="1"/>
          <w:bCs w:val="1"/>
          <w:rtl w:val="0"/>
        </w:rPr>
        <w:t xml:space="preserve">Klassifizierung:</w:t>
      </w:r>
      <w:r w:rsidDel="00000000" w:rsidR="00000000" w:rsidRPr="00000000">
        <w:rPr>
          <w:rtl w:val="0"/>
        </w:rPr>
        <w:t xml:space="preserve">  Akademischer Statusbericht – Strategische Roadmap</w:t>
      </w:r>
      <w:r w:rsidDel="00000000" w:rsidR="00000000" w:rsidRPr="00000000">
        <w:rPr>
          <w:b w:val="1"/>
          <w:bCs w:val="1"/>
          <w:rtl w:val="0"/>
        </w:rPr>
        <w:t xml:space="preserve">Verfasser:</w:t>
      </w:r>
      <w:r w:rsidDel="00000000" w:rsidR="00000000" w:rsidRPr="00000000">
        <w:rPr>
          <w:rtl w:val="0"/>
        </w:rPr>
        <w:t xml:space="preserve">  Leitender Wissenschaftler, Abteilung für Quantengeometrie und Kosmologie</w:t>
      </w:r>
    </w:p>
    <w:p w:rsidR="00000000" w:rsidDel="00000000" w:rsidP="00000000" w:rsidRDefault="00000000" w:rsidRPr="00000000" w14:paraId="00000003">
      <w:pPr>
        <w:pStyle w:val="Heading4"/>
        <w:rPr/>
      </w:pPr>
      <w:bookmarkStart w:colFirst="0" w:colLast="0" w:name="_hhcl8lpqkr08" w:id="1"/>
      <w:bookmarkEnd w:id="1"/>
      <w:r w:rsidDel="00000000" w:rsidR="00000000" w:rsidRPr="00000000">
        <w:rPr>
          <w:rtl w:val="0"/>
        </w:rPr>
        <w:t xml:space="preserve">1. Strategische Einordnung: Die Krise der Standardphysik und das FKT-Paradigma</w:t>
      </w:r>
    </w:p>
    <w:p w:rsidR="00000000" w:rsidDel="00000000" w:rsidP="00000000" w:rsidRDefault="00000000" w:rsidRPr="00000000" w14:paraId="00000004">
      <w:pPr>
        <w:rPr/>
      </w:pPr>
      <w:r w:rsidDel="00000000" w:rsidR="00000000" w:rsidRPr="00000000">
        <w:rPr>
          <w:rtl w:val="0"/>
        </w:rPr>
        <w:t xml:space="preserve">Die moderne Kosmologie hat einen kritischen, skalenabhängigen Wendepunkt erreicht. Das  $\Lambda$ CDM-Standardmodell erweist sich zunehmend als unzureichend, um die signifikante Hubble-Spannung – die Diskrepanz zwischen lokaler Expansionsrate und den Daten des frühen Universums – sowie das fortwährende Ausbleiben von WIMP-Detektionen zu erklären. Diese „Kausale Lücke“ ist kein bloßes Messproblem, sondern das Symptom einer unvollständigen Geometrie.Die  </w:t>
      </w:r>
      <w:r w:rsidDel="00000000" w:rsidR="00000000" w:rsidRPr="00000000">
        <w:rPr>
          <w:b w:val="1"/>
          <w:bCs w:val="1"/>
          <w:rtl w:val="0"/>
        </w:rPr>
        <w:t xml:space="preserve">Fraktale Kausale Theorie (FKT)</w:t>
      </w:r>
      <w:r w:rsidDel="00000000" w:rsidR="00000000" w:rsidRPr="00000000">
        <w:rPr>
          <w:rtl w:val="0"/>
        </w:rPr>
        <w:t xml:space="preserve">  positioniert sich als notwendige Erweiterung der Allgemeinen Relativitätstheorie (ART), indem sie das Prinzip der fraktalen Selbstreferenz einführt. Das Universum wird nicht länger als isolierte 3D-Bran betrachtet, sondern als integraler Bestandteil einer hierarchischen Struktur. Die mathematische Auflösung dieser Krise liegt in der Erkenntnis, dass galaktische Rotationskurven und kosmische Expansion keine Wirkungen dunkler Materiepartikel sind, sondern Resultate eines „geometrischen Echos“ aus übergeordneten Universen (Bulk+). Die FKT schließt die kausale Lücke durch die Modifikation der Einsteinschen Feldgleichungen, die nun als Hardware-Spezifikation für die technologische Souveränität dient.</w:t>
      </w:r>
    </w:p>
    <w:p w:rsidR="00000000" w:rsidDel="00000000" w:rsidP="00000000" w:rsidRDefault="00000000" w:rsidRPr="00000000" w14:paraId="00000005">
      <w:pPr>
        <w:pStyle w:val="Heading4"/>
        <w:rPr/>
      </w:pPr>
      <w:bookmarkStart w:colFirst="0" w:colLast="0" w:name="_qeux7uw506b7" w:id="2"/>
      <w:bookmarkEnd w:id="2"/>
      <w:r w:rsidDel="00000000" w:rsidR="00000000" w:rsidRPr="00000000">
        <w:rPr>
          <w:rtl w:val="0"/>
        </w:rPr>
        <w:t xml:space="preserve">2. Mathematisches Fundament: Die Erweiterte Einstein-Kurzer-Gleichung (EYRQ)</w:t>
      </w:r>
    </w:p>
    <w:p w:rsidR="00000000" w:rsidDel="00000000" w:rsidP="00000000" w:rsidRDefault="00000000" w:rsidRPr="00000000" w14:paraId="00000006">
      <w:pPr>
        <w:rPr/>
      </w:pPr>
      <w:r w:rsidDel="00000000" w:rsidR="00000000" w:rsidRPr="00000000">
        <w:rPr>
          <w:rtl w:val="0"/>
        </w:rPr>
        <w:t xml:space="preserve">Der theoretische Kern der Version 4.4 ist die  </w:t>
      </w:r>
      <w:r w:rsidDel="00000000" w:rsidR="00000000" w:rsidRPr="00000000">
        <w:rPr>
          <w:b w:val="1"/>
          <w:bCs w:val="1"/>
          <w:rtl w:val="0"/>
        </w:rPr>
        <w:t xml:space="preserve">Erweiterte Einstein-Kurzer-Gleichung (EYRQ)</w:t>
      </w:r>
      <w:r w:rsidDel="00000000" w:rsidR="00000000" w:rsidRPr="00000000">
        <w:rPr>
          <w:rtl w:val="0"/>
        </w:rPr>
        <w:t xml:space="preserve"> . Sie formalisiert den Einfluss des höherdimensionalen Bulk-Raums als zusätzlichen Spannungstensor innerhalb der Raumzeit-Metrik.$$G_{\mu\nu} + \Lambda g_{\mu\nu} = \kappa(T_{\mu\nu} + T_{\text{Bulk}})$$In dieser Notation repräsentiert  $T_{\text{Bulk}}$  (oft synonym mit dem Kurzer-Korrekturterm  $\oplus_{\mu\nu}$  verwendet) den geometrischen Druck oder das Echo des „Großmutter-Universums“. Dieser Term ersetzt die Notwendigkeit für hypothetische Dunkle Materie, indem er die Krümmungsdichte invers zur lokalen Bran-Dichte moduliert.</w:t>
      </w:r>
    </w:p>
    <w:p w:rsidR="00000000" w:rsidDel="00000000" w:rsidP="00000000" w:rsidRDefault="00000000" w:rsidRPr="00000000" w14:paraId="00000007">
      <w:pPr>
        <w:pStyle w:val="Heading5"/>
        <w:rPr/>
      </w:pPr>
      <w:bookmarkStart w:colFirst="0" w:colLast="0" w:name="_2wmildr86six" w:id="3"/>
      <w:bookmarkEnd w:id="3"/>
      <w:r w:rsidDel="00000000" w:rsidR="00000000" w:rsidRPr="00000000">
        <w:rPr>
          <w:rtl w:val="0"/>
        </w:rPr>
        <w:t xml:space="preserve">Komponenten der EYRQ und des kausalen Audits</w:t>
      </w:r>
    </w:p>
    <w:p w:rsidR="00000000" w:rsidDel="00000000" w:rsidP="00000000" w:rsidRDefault="00000000" w:rsidRPr="00000000" w14:paraId="00000008">
      <w:pPr>
        <w:rPr/>
      </w:pPr>
      <w:r w:rsidDel="00000000" w:rsidR="00000000" w:rsidRPr="00000000">
        <w:rPr>
          <w:rtl w:val="0"/>
        </w:rPr>
        <w:t xml:space="preserve">Komponente,Bezeichnung,Physikalische Funktion,Einfluss auf die Raumzeit-Geometrie</w:t>
      </w:r>
    </w:p>
    <w:p w:rsidR="00000000" w:rsidDel="00000000" w:rsidP="00000000" w:rsidRDefault="00000000" w:rsidRPr="00000000" w14:paraId="00000009">
      <w:pPr>
        <w:rPr/>
      </w:pPr>
      <w:r w:rsidDel="00000000" w:rsidR="00000000" w:rsidRPr="00000000">
        <w:rPr>
          <w:rtl w:val="0"/>
        </w:rPr>
        <w:t xml:space="preserve">$G_{\mu\nu}$,Einstein-Tensor,Krümmungsmetrik,Bestimmt die makroskopische 4D-Geometrie.</w:t>
      </w:r>
    </w:p>
    <w:p w:rsidR="00000000" w:rsidDel="00000000" w:rsidP="00000000" w:rsidRDefault="00000000" w:rsidRPr="00000000" w14:paraId="0000000A">
      <w:pPr>
        <w:rPr/>
      </w:pPr>
      <w:r w:rsidDel="00000000" w:rsidR="00000000" w:rsidRPr="00000000">
        <w:rPr>
          <w:rtl w:val="0"/>
        </w:rPr>
        <w:t xml:space="preserve">$\Lambda g_{\mu\nu}$,Kosmol. Konstante,Vakuumenergie-Term,Skaliert die globale Expansion.</w:t>
      </w:r>
    </w:p>
    <w:p w:rsidR="00000000" w:rsidDel="00000000" w:rsidP="00000000" w:rsidRDefault="00000000" w:rsidRPr="00000000" w14:paraId="0000000B">
      <w:pPr>
        <w:rPr/>
      </w:pPr>
      <w:r w:rsidDel="00000000" w:rsidR="00000000" w:rsidRPr="00000000">
        <w:rPr>
          <w:rtl w:val="0"/>
        </w:rPr>
        <w:t xml:space="preserve">$T_{\mu\nu}$,Energie-Impuls-Tensor,Baryonische Materie,Repräsentiert Standard-Materie und Energieflüsse.</w:t>
      </w:r>
    </w:p>
    <w:p w:rsidR="00000000" w:rsidDel="00000000" w:rsidP="00000000" w:rsidRDefault="00000000" w:rsidRPr="00000000" w14:paraId="0000000C">
      <w:pPr>
        <w:rPr/>
      </w:pPr>
      <w:r w:rsidDel="00000000" w:rsidR="00000000" w:rsidRPr="00000000">
        <w:rPr>
          <w:rtl w:val="0"/>
        </w:rPr>
        <w:t xml:space="preserve">$T_{\text{Bulk}}$  ( $\oplus_{\mu\nu}$ ),Bulk-Tensor,Geometrisches Echo,Erzeugt den geometrischen Druck (Dunkle Materie).</w:t>
      </w:r>
    </w:p>
    <w:p w:rsidR="00000000" w:rsidDel="00000000" w:rsidP="00000000" w:rsidRDefault="00000000" w:rsidRPr="00000000" w14:paraId="0000000D">
      <w:pPr>
        <w:rPr/>
      </w:pPr>
      <w:r w:rsidDel="00000000" w:rsidR="00000000" w:rsidRPr="00000000">
        <w:rPr>
          <w:rtl w:val="0"/>
        </w:rPr>
        <w:t xml:space="preserve">$\mathcal{C}$,C-Operator,Kausalitätstensor,Kodiert die fraktale Selbstähnlichkeit über alle Skalen.</w:t>
      </w:r>
    </w:p>
    <w:p w:rsidR="00000000" w:rsidDel="00000000" w:rsidP="00000000" w:rsidRDefault="00000000" w:rsidRPr="00000000" w14:paraId="0000000E">
      <w:pPr>
        <w:rPr/>
      </w:pPr>
      <w:r w:rsidDel="00000000" w:rsidR="00000000" w:rsidRPr="00000000">
        <w:rPr>
          <w:rtl w:val="0"/>
        </w:rPr>
        <w:t xml:space="preserve">Diese Erweiterung erzwingt eine lückenlose Auditkette: Makroskopische Anomalien müssen zwingend korrespondierende Signaturen auf der subatomaren Ebene induzieren.</w:t>
      </w:r>
    </w:p>
    <w:p w:rsidR="00000000" w:rsidDel="00000000" w:rsidP="00000000" w:rsidRDefault="00000000" w:rsidRPr="00000000" w14:paraId="0000000F">
      <w:pPr>
        <w:pStyle w:val="Heading4"/>
        <w:rPr/>
      </w:pPr>
      <w:bookmarkStart w:colFirst="0" w:colLast="0" w:name="_ckpucpdvymq8" w:id="4"/>
      <w:bookmarkEnd w:id="4"/>
      <w:r w:rsidDel="00000000" w:rsidR="00000000" w:rsidRPr="00000000">
        <w:rPr>
          <w:rtl w:val="0"/>
        </w:rPr>
        <w:t xml:space="preserve">3. Der Nukleare Anker: Die Flerovium-Hypothese und die 3,773 MeV-Prognose</w:t>
      </w:r>
    </w:p>
    <w:p w:rsidR="00000000" w:rsidDel="00000000" w:rsidP="00000000" w:rsidRDefault="00000000" w:rsidRPr="00000000" w14:paraId="00000010">
      <w:pPr>
        <w:rPr/>
      </w:pPr>
      <w:r w:rsidDel="00000000" w:rsidR="00000000" w:rsidRPr="00000000">
        <w:rPr>
          <w:rtl w:val="0"/>
        </w:rPr>
        <w:t xml:space="preserve">Das zentrale Falsifikationskriterium der FKT V4.4 ist die  </w:t>
      </w:r>
      <w:r w:rsidDel="00000000" w:rsidR="00000000" w:rsidRPr="00000000">
        <w:rPr>
          <w:b w:val="1"/>
          <w:bCs w:val="1"/>
          <w:rtl w:val="0"/>
        </w:rPr>
        <w:t xml:space="preserve">Flerovium-Hypothese</w:t>
      </w:r>
      <w:r w:rsidDel="00000000" w:rsidR="00000000" w:rsidRPr="00000000">
        <w:rPr>
          <w:rtl w:val="0"/>
        </w:rPr>
        <w:t xml:space="preserve"> . Das Element  $Z=114$  agiert aufgrund seiner Lage nahe der „Insel der Stabilität“ als kritischer  </w:t>
      </w:r>
      <w:r w:rsidDel="00000000" w:rsidR="00000000" w:rsidRPr="00000000">
        <w:rPr>
          <w:b w:val="1"/>
          <w:bCs w:val="1"/>
          <w:rtl w:val="0"/>
        </w:rPr>
        <w:t xml:space="preserve">Bulk-Resonator</w:t>
      </w:r>
      <w:r w:rsidDel="00000000" w:rsidR="00000000" w:rsidRPr="00000000">
        <w:rPr>
          <w:rtl w:val="0"/>
        </w:rPr>
        <w:t xml:space="preserve"> .Die wissenschaftliche Integrität der Theorie stützt sich auf die tensorielle Zerlegung des Bulk-Korrekturterms ( $\oplus_{\mu\nu}$ ) in eine longitudinale ( $\oplus_{\parallel}$ ) und eine transversale ( $\oplus_{\perp}$ ) Komponente. Die transversale Komponente  $\oplus_{\perp \mu\nu}$  induziert eine direkte Modifikation des  </w:t>
      </w:r>
      <w:r w:rsidDel="00000000" w:rsidR="00000000" w:rsidRPr="00000000">
        <w:rPr>
          <w:b w:val="1"/>
          <w:bCs w:val="1"/>
          <w:rtl w:val="0"/>
        </w:rPr>
        <w:t xml:space="preserve">Skyrme-Tensors (</w:t>
      </w:r>
      <w:r w:rsidDel="00000000" w:rsidR="00000000" w:rsidRPr="00000000">
        <w:rPr>
          <w:rtl w:val="0"/>
        </w:rPr>
        <w:t xml:space="preserve">  </w:t>
      </w:r>
      <w:r w:rsidDel="00000000" w:rsidR="00000000" w:rsidRPr="00000000">
        <w:rPr>
          <w:b w:val="1"/>
          <w:bCs w:val="1"/>
          <w:rtl w:val="0"/>
        </w:rPr>
        <w:t xml:space="preserve">$S_{\mu\nu}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welcher die Kernwechselwirkungen beschreibt:  $$S_{\text{eff}} \mu\nu = S_{\mu\nu} + \lambda \cdot \oplus_{\perp \mu\nu}$$Diese Modifikation führt zu einer asymmetrischen Verschiebung der Eigenwerte im erweiterten Hamilton-Operator  $H_{\text{FKT}}$ , woraus die spezifische  $\gamma$ -Linie resultiert.</w:t>
      </w:r>
    </w:p>
    <w:p w:rsidR="00000000" w:rsidDel="00000000" w:rsidP="00000000" w:rsidRDefault="00000000" w:rsidRPr="00000000" w14:paraId="00000011">
      <w:pPr>
        <w:pStyle w:val="Heading5"/>
        <w:rPr/>
      </w:pPr>
      <w:bookmarkStart w:colFirst="0" w:colLast="0" w:name="_51dh5n23i8me" w:id="5"/>
      <w:bookmarkEnd w:id="5"/>
      <w:r w:rsidDel="00000000" w:rsidR="00000000" w:rsidRPr="00000000">
        <w:rPr>
          <w:rtl w:val="0"/>
        </w:rPr>
        <w:t xml:space="preserve">Numerische Validierung der Resonanz</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Zustands-Übergang:</w:t>
      </w:r>
      <w:r w:rsidDel="00000000" w:rsidR="00000000" w:rsidRPr="00000000">
        <w:rPr>
          <w:rtl w:val="0"/>
        </w:rPr>
        <w:t xml:space="preserve">   $2^+ \to 0^+$  Übergang im Kern  $^{298}\text{Fl}$ .</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Prognostizierter Wert:</w:t>
      </w:r>
      <w:r w:rsidDel="00000000" w:rsidR="00000000" w:rsidRPr="00000000">
        <w:rPr>
          <w:rtl w:val="0"/>
        </w:rPr>
        <w:t xml:space="preserve">   </w:t>
      </w:r>
      <w:r w:rsidDel="00000000" w:rsidR="00000000" w:rsidRPr="00000000">
        <w:rPr>
          <w:b w:val="1"/>
          <w:bCs w:val="1"/>
          <w:rtl w:val="0"/>
        </w:rPr>
        <w:t xml:space="preserve">3,773 MeV</w:t>
      </w:r>
      <w:r w:rsidDel="00000000" w:rsidR="00000000" w:rsidRPr="00000000">
        <w:rPr>
          <w:rtl w:val="0"/>
        </w:rPr>
        <w:t xml:space="preserve"> .</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Bootstrap-Validierung (</w:t>
      </w:r>
      <w:r w:rsidDel="00000000" w:rsidR="00000000" w:rsidRPr="00000000">
        <w:rPr>
          <w:rtl w:val="0"/>
        </w:rPr>
        <w:t xml:space="preserve">  </w:t>
      </w:r>
      <w:r w:rsidDel="00000000" w:rsidR="00000000" w:rsidRPr="00000000">
        <w:rPr>
          <w:b w:val="1"/>
          <w:bCs w:val="1"/>
          <w:rtl w:val="0"/>
        </w:rPr>
        <w:t xml:space="preserve">$N=10.000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95%-Konfidenzintervall:  $3,745, 3,802$  MeV.</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Statistischer Status:</w:t>
      </w:r>
      <w:r w:rsidDel="00000000" w:rsidR="00000000" w:rsidRPr="00000000">
        <w:rPr>
          <w:rtl w:val="0"/>
        </w:rPr>
        <w:t xml:space="preserve">  Empirische Standardabweichung  $\sigma_{\text{boot}} \approx 0,014$  MeV.Die experimentelle Bestätigung dieses Wertes an Einrichtungen wie dem CERN oder der GSI ist ein obligatorisches wissenschaftliches Protokoll, um die operative Kopplung des Bulk-Raums an die Materie unwiderlegbar zu beweisen.</w:t>
      </w:r>
    </w:p>
    <w:p w:rsidR="00000000" w:rsidDel="00000000" w:rsidP="00000000" w:rsidRDefault="00000000" w:rsidRPr="00000000" w14:paraId="00000016">
      <w:pPr>
        <w:pStyle w:val="Heading4"/>
        <w:rPr/>
      </w:pPr>
      <w:bookmarkStart w:colFirst="0" w:colLast="0" w:name="_rxqz3tvr4047" w:id="6"/>
      <w:bookmarkEnd w:id="6"/>
      <w:r w:rsidDel="00000000" w:rsidR="00000000" w:rsidRPr="00000000">
        <w:rPr>
          <w:rtl w:val="0"/>
        </w:rPr>
        <w:t xml:space="preserve">4. Technologische Transformation: Gravitationsmanipulation und der GMA-Antrieb</w:t>
      </w:r>
    </w:p>
    <w:p w:rsidR="00000000" w:rsidDel="00000000" w:rsidP="00000000" w:rsidRDefault="00000000" w:rsidRPr="00000000" w14:paraId="00000017">
      <w:pPr>
        <w:rPr>
          <w:b w:val="1"/>
          <w:bCs w:val="1"/>
        </w:rPr>
      </w:pPr>
      <w:r w:rsidDel="00000000" w:rsidR="00000000" w:rsidRPr="00000000">
        <w:rPr>
          <w:rtl w:val="0"/>
        </w:rPr>
        <w:t xml:space="preserve">Der  </w:t>
      </w:r>
      <w:r w:rsidDel="00000000" w:rsidR="00000000" w:rsidRPr="00000000">
        <w:rPr>
          <w:b w:val="1"/>
          <w:bCs w:val="1"/>
          <w:rtl w:val="0"/>
        </w:rPr>
        <w:t xml:space="preserve">Gravitationsmanipulationsantrieb (GMA)</w:t>
      </w:r>
      <w:r w:rsidDel="00000000" w:rsidR="00000000" w:rsidRPr="00000000">
        <w:rPr>
          <w:rtl w:val="0"/>
        </w:rPr>
        <w:t xml:space="preserve">  stellt den Übergang von der Impuls-Kinetik zur geometrischen Kausal-Ingenieurwissenschaft dar. Er ermöglicht eine non-lokale Bewegung ohne Ausstoßmassen durch kontrollierte Verzerrung der Raumzeit. Aufgrund der immensen energetischen Anforderungen ist der Bau einer  </w:t>
      </w:r>
      <w:r w:rsidDel="00000000" w:rsidR="00000000" w:rsidRPr="00000000">
        <w:rPr>
          <w:b w:val="1"/>
          <w:bCs w:val="1"/>
          <w:rtl w:val="0"/>
        </w:rPr>
        <w:t xml:space="preserve">Dyson-Struktur</w:t>
      </w:r>
      <w:r w:rsidDel="00000000" w:rsidR="00000000" w:rsidRPr="00000000">
        <w:rPr>
          <w:rtl w:val="0"/>
        </w:rPr>
        <w:t xml:space="preserve">  (Typ-II-Zivilisation) zur Erschließung der vollen solaren Leistung ( $P_{\odot} \approx 3,8 \times 10^{26}$  W) zwingende Voraussetzung.Die operative Effizienz wird durch die Bulk-Verschränkungs-Kopplungskonstante  $C_{\text{GMA}}$  und die Verschränkungsdichte-Modulation  $\mathcal{D}</w:t>
      </w:r>
      <w:r w:rsidDel="00000000" w:rsidR="00000000" w:rsidRPr="00000000">
        <w:rPr>
          <w:i w:val="1"/>
          <w:iCs w:val="1"/>
          <w:rtl w:val="0"/>
        </w:rPr>
        <w:t xml:space="preserve">\Phi$  definiert:$$C</w:t>
      </w:r>
      <w:r w:rsidDel="00000000" w:rsidR="00000000" w:rsidRPr="00000000">
        <w:rPr>
          <w:rtl w:val="0"/>
        </w:rPr>
        <w:t xml:space="preserve">{\text{GMA}} = \left( \frac{c^{11}}{G^2 \cdot \hbar^2} \right) \cdot \ell_P \quad \text{und} \quad \mathcal{D}</w:t>
      </w:r>
      <w:r w:rsidDel="00000000" w:rsidR="00000000" w:rsidRPr="00000000">
        <w:rPr>
          <w:i w:val="1"/>
          <w:iCs w:val="1"/>
          <w:rtl w:val="0"/>
        </w:rPr>
        <w:t xml:space="preserve">\Phi = \frac{\mathcal{N}</w:t>
      </w:r>
      <w:r w:rsidDel="00000000" w:rsidR="00000000" w:rsidRPr="00000000">
        <w:rPr>
          <w:rtl w:val="0"/>
        </w:rPr>
        <w:t xml:space="preserve">{\text{entangled}}}{\mathcal{V} \cdot \tau}$$</w:t>
      </w:r>
      <w:r w:rsidDel="00000000" w:rsidR="00000000" w:rsidRPr="00000000">
        <w:rPr>
          <w:b w:val="1"/>
          <w:bCs w:val="1"/>
          <w:rtl w:val="0"/>
        </w:rPr>
        <w:t xml:space="preserve">Strategische Meilensteine des GMA:</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Kinetik:</w:t>
      </w:r>
      <w:r w:rsidDel="00000000" w:rsidR="00000000" w:rsidRPr="00000000">
        <w:rPr>
          <w:rtl w:val="0"/>
        </w:rPr>
        <w:t xml:space="preserve">  50-fach schnellere Rückstellzeiten im Vergleich zu konventionellen Formgedächtnislegierungen (SMA).</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Effizienz:</w:t>
      </w:r>
      <w:r w:rsidDel="00000000" w:rsidR="00000000" w:rsidRPr="00000000">
        <w:rPr>
          <w:rtl w:val="0"/>
        </w:rPr>
        <w:t xml:space="preserve">  Theoretische Steigerung der Energieeffizienz um den Faktor  </w:t>
      </w:r>
      <w:r w:rsidDel="00000000" w:rsidR="00000000" w:rsidRPr="00000000">
        <w:rPr>
          <w:b w:val="1"/>
          <w:bCs w:val="1"/>
          <w:rtl w:val="0"/>
        </w:rPr>
        <w:t xml:space="preserve">$1,2 \times 10^6</w:t>
      </w:r>
      <w:r w:rsidDel="00000000" w:rsidR="00000000" w:rsidRPr="00000000">
        <w:rPr>
          <w:rtl w:val="0"/>
        </w:rPr>
        <w:t xml:space="preserve">$  gegenüber klassischen Systemen.</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Antriebsprinzip:</w:t>
      </w:r>
      <w:r w:rsidDel="00000000" w:rsidR="00000000" w:rsidRPr="00000000">
        <w:rPr>
          <w:rtl w:val="0"/>
        </w:rPr>
        <w:t xml:space="preserve">  Kontinuierliche Kompression der 3D-Bran vor dem System bei gleichzeitiger Expansion dahinter, unter strikter Wahrung der Kausalität (Ausschluss zeitartiger Kurven).</w:t>
      </w:r>
    </w:p>
    <w:p w:rsidR="00000000" w:rsidDel="00000000" w:rsidP="00000000" w:rsidRDefault="00000000" w:rsidRPr="00000000" w14:paraId="0000001B">
      <w:pPr>
        <w:pStyle w:val="Heading4"/>
        <w:rPr/>
      </w:pPr>
      <w:bookmarkStart w:colFirst="0" w:colLast="0" w:name="_vpal6b9kmznf" w:id="7"/>
      <w:bookmarkEnd w:id="7"/>
      <w:r w:rsidDel="00000000" w:rsidR="00000000" w:rsidRPr="00000000">
        <w:rPr>
          <w:rtl w:val="0"/>
        </w:rPr>
        <w:t xml:space="preserve">5. Biomedizinische Konvergenz: Kausale Kohärenz und MedBed-Technologie</w:t>
      </w:r>
    </w:p>
    <w:p w:rsidR="00000000" w:rsidDel="00000000" w:rsidP="00000000" w:rsidRDefault="00000000" w:rsidRPr="00000000" w14:paraId="0000001C">
      <w:pPr>
        <w:rPr/>
      </w:pPr>
      <w:r w:rsidDel="00000000" w:rsidR="00000000" w:rsidRPr="00000000">
        <w:rPr>
          <w:rtl w:val="0"/>
        </w:rPr>
        <w:t xml:space="preserve">In der FKT V4.4 werden biologische Systeme als komplexe Kausalnetzwerke definiert. Krankheiten sind „Metrik-Fehler“ in der zellulären Struktur. Das MedBed-Protokoll ist ein  </w:t>
      </w:r>
      <w:r w:rsidDel="00000000" w:rsidR="00000000" w:rsidRPr="00000000">
        <w:rPr>
          <w:b w:val="1"/>
          <w:bCs w:val="1"/>
          <w:rtl w:val="0"/>
        </w:rPr>
        <w:t xml:space="preserve">Mandatory Protocol</w:t>
      </w:r>
      <w:r w:rsidDel="00000000" w:rsidR="00000000" w:rsidRPr="00000000">
        <w:rPr>
          <w:rtl w:val="0"/>
        </w:rPr>
        <w:t xml:space="preserve"> , das die kausale Kohärenz durch die Übertragung des 3,773 MeV-Takts auf die zellulären  </w:t>
      </w:r>
      <w:r w:rsidDel="00000000" w:rsidR="00000000" w:rsidRPr="00000000">
        <w:rPr>
          <w:b w:val="1"/>
          <w:bCs w:val="1"/>
          <w:rtl w:val="0"/>
        </w:rPr>
        <w:t xml:space="preserve">Mikrotubuli</w:t>
      </w:r>
      <w:r w:rsidDel="00000000" w:rsidR="00000000" w:rsidRPr="00000000">
        <w:rPr>
          <w:rtl w:val="0"/>
        </w:rPr>
        <w:t xml:space="preserve">  wiederherstellt.Der entscheidende biophysikalische Mechanismus basiert auf den Ergebnissen des  </w:t>
      </w:r>
      <w:r w:rsidDel="00000000" w:rsidR="00000000" w:rsidRPr="00000000">
        <w:rPr>
          <w:b w:val="1"/>
          <w:bCs w:val="1"/>
          <w:rtl w:val="0"/>
        </w:rPr>
        <w:t xml:space="preserve">NEEMO-Audits</w:t>
      </w:r>
      <w:r w:rsidDel="00000000" w:rsidR="00000000" w:rsidRPr="00000000">
        <w:rPr>
          <w:rtl w:val="0"/>
        </w:rPr>
        <w:t xml:space="preserve"> : Unter hydrostatischem Sättigungsdruck fungiert das im Gewebe gebundene Wasser als  </w:t>
      </w:r>
      <w:r w:rsidDel="00000000" w:rsidR="00000000" w:rsidRPr="00000000">
        <w:rPr>
          <w:b w:val="1"/>
          <w:bCs w:val="1"/>
          <w:rtl w:val="0"/>
        </w:rPr>
        <w:t xml:space="preserve">Kausaler Supraleiter</w:t>
      </w:r>
      <w:r w:rsidDel="00000000" w:rsidR="00000000" w:rsidRPr="00000000">
        <w:rPr>
          <w:rtl w:val="0"/>
        </w:rPr>
        <w:t xml:space="preserve"> . Nur in diesem Zustand kann die Resonanzfrequenz verlustfrei die biologischen Qubits erreichen, um den  </w:t>
      </w: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$P_{\text{opt}} \approx 9,43 \times 10^{-2}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zu stabilisieren.</w:t>
      </w:r>
      <w:r w:rsidDel="00000000" w:rsidR="00000000" w:rsidRPr="00000000">
        <w:rPr>
          <w:b w:val="1"/>
          <w:bCs w:val="1"/>
          <w:rtl w:val="0"/>
        </w:rPr>
        <w:t xml:space="preserve">Ethisches Mandat:</w:t>
      </w:r>
      <w:r w:rsidDel="00000000" w:rsidR="00000000" w:rsidRPr="00000000">
        <w:rPr>
          <w:rtl w:val="0"/>
        </w:rPr>
        <w:t xml:space="preserve">  Jede Anwendung unterliegt der  </w:t>
      </w:r>
      <w:r w:rsidDel="00000000" w:rsidR="00000000" w:rsidRPr="00000000">
        <w:rPr>
          <w:b w:val="1"/>
          <w:bCs w:val="1"/>
          <w:rtl w:val="0"/>
        </w:rPr>
        <w:t xml:space="preserve">Null-Kausalitäts-Prärogative (NKP)</w:t>
      </w:r>
      <w:r w:rsidDel="00000000" w:rsidR="00000000" w:rsidRPr="00000000">
        <w:rPr>
          <w:rtl w:val="0"/>
        </w:rPr>
        <w:t xml:space="preserve"> . Dieses Sicherheitsprotokoll begrenzt die Technologie unwiderruflich auf regenerative Zwecke und verhindert jede destruktive Manipulation der Kausalstruktur.</w:t>
      </w:r>
    </w:p>
    <w:p w:rsidR="00000000" w:rsidDel="00000000" w:rsidP="00000000" w:rsidRDefault="00000000" w:rsidRPr="00000000" w14:paraId="0000001D">
      <w:pPr>
        <w:pStyle w:val="Heading4"/>
        <w:rPr/>
      </w:pPr>
      <w:bookmarkStart w:colFirst="0" w:colLast="0" w:name="_6ca115r8nfup" w:id="8"/>
      <w:bookmarkEnd w:id="8"/>
      <w:r w:rsidDel="00000000" w:rsidR="00000000" w:rsidRPr="00000000">
        <w:rPr>
          <w:rtl w:val="0"/>
        </w:rPr>
        <w:t xml:space="preserve">6. Numerische Validierung und Audit-Struktur</w:t>
      </w:r>
    </w:p>
    <w:p w:rsidR="00000000" w:rsidDel="00000000" w:rsidP="00000000" w:rsidRDefault="00000000" w:rsidRPr="00000000" w14:paraId="0000001E">
      <w:pPr>
        <w:rPr/>
      </w:pPr>
      <w:r w:rsidDel="00000000" w:rsidR="00000000" w:rsidRPr="00000000">
        <w:rPr>
          <w:rtl w:val="0"/>
        </w:rPr>
        <w:t xml:space="preserve">Die methodische Überlegenheit der FKT V4.4 gegenüber dem  $\Lambda$ CDM-Modell ist durch eine lückenlose MCMC-Inferenz-Pipeline (Cobaya) statistisch belegt. Der Modellvergleich via AIC und BIC weist die FKT als das präzisere Framework zur Beschreibung der kosmischen Realität aus.</w:t>
      </w:r>
    </w:p>
    <w:p w:rsidR="00000000" w:rsidDel="00000000" w:rsidP="00000000" w:rsidRDefault="00000000" w:rsidRPr="00000000" w14:paraId="0000001F">
      <w:pPr>
        <w:pStyle w:val="Heading5"/>
        <w:rPr/>
      </w:pPr>
      <w:bookmarkStart w:colFirst="0" w:colLast="0" w:name="_m4jb2dkygya1" w:id="9"/>
      <w:bookmarkEnd w:id="9"/>
      <w:r w:rsidDel="00000000" w:rsidR="00000000" w:rsidRPr="00000000">
        <w:rPr>
          <w:rtl w:val="0"/>
        </w:rPr>
        <w:t xml:space="preserve">Statistische Beweisführung (Best-Fit)</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Hubble-Konstante (</w:t>
      </w:r>
      <w:r w:rsidDel="00000000" w:rsidR="00000000" w:rsidRPr="00000000">
        <w:rPr>
          <w:rtl w:val="0"/>
        </w:rPr>
        <w:t xml:space="preserve">  </w:t>
      </w: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$71,5 \pm 0,8$  km/s/Mpc (Auflösung der Hubble-Spannung).</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Zustandsgleichungsparameter (</w:t>
      </w:r>
      <w:r w:rsidDel="00000000" w:rsidR="00000000" w:rsidRPr="00000000">
        <w:rPr>
          <w:rtl w:val="0"/>
        </w:rPr>
        <w:t xml:space="preserve">  </w:t>
      </w:r>
      <w:r w:rsidDel="00000000" w:rsidR="00000000" w:rsidRPr="00000000">
        <w:rPr>
          <w:b w:val="1"/>
          <w:bCs w:val="1"/>
          <w:rtl w:val="0"/>
        </w:rPr>
        <w:t xml:space="preserve">$w_X</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$-0,90 \pm 0,05$  (Nachweis der dynamischen Bulk-Kopplung).</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Konvergenz:</w:t>
      </w:r>
      <w:r w:rsidDel="00000000" w:rsidR="00000000" w:rsidRPr="00000000">
        <w:rPr>
          <w:rtl w:val="0"/>
        </w:rPr>
        <w:t xml:space="preserve">  Gelman-Rubin-Diagnostikum  $R-1 &lt; 0,014$ .Zur Gewährleistung der wissenschaftlichen Transparenz ist das Framework hash-basiert validiert. Die Audit-Struktur umfasst SHA256-Hashes für jeden Rechenschritt, YAML-basierte Konfigurationen für die vollständige Reproduzierbarkeit und eine dauerhafte Archivierung via Zenodo-DOI.</w:t>
      </w:r>
    </w:p>
    <w:p w:rsidR="00000000" w:rsidDel="00000000" w:rsidP="00000000" w:rsidRDefault="00000000" w:rsidRPr="00000000" w14:paraId="00000023">
      <w:pPr>
        <w:pStyle w:val="Heading4"/>
        <w:rPr/>
      </w:pPr>
      <w:bookmarkStart w:colFirst="0" w:colLast="0" w:name="_nhgz1sc8jsbz" w:id="10"/>
      <w:bookmarkEnd w:id="10"/>
      <w:r w:rsidDel="00000000" w:rsidR="00000000" w:rsidRPr="00000000">
        <w:rPr>
          <w:rtl w:val="0"/>
        </w:rPr>
        <w:t xml:space="preserve">7. Fazit: Der Übergang in das Zeitalter der Kausalen Konsistenz</w:t>
      </w:r>
    </w:p>
    <w:p w:rsidR="00000000" w:rsidDel="00000000" w:rsidP="00000000" w:rsidRDefault="00000000" w:rsidRPr="00000000" w14:paraId="00000024">
      <w:pPr>
        <w:rPr/>
      </w:pPr>
      <w:r w:rsidDel="00000000" w:rsidR="00000000" w:rsidRPr="00000000">
        <w:rPr>
          <w:rtl w:val="0"/>
        </w:rPr>
        <w:t xml:space="preserve">Das Update V4.4 der Fraktalen Kausalen Theorie ist die finale  </w:t>
      </w:r>
      <w:r w:rsidDel="00000000" w:rsidR="00000000" w:rsidRPr="00000000">
        <w:rPr>
          <w:b w:val="1"/>
          <w:bCs w:val="1"/>
          <w:rtl w:val="0"/>
        </w:rPr>
        <w:t xml:space="preserve">„Hardware-Spezifikation des Universums“</w:t>
      </w:r>
      <w:r w:rsidDel="00000000" w:rsidR="00000000" w:rsidRPr="00000000">
        <w:rPr>
          <w:rtl w:val="0"/>
        </w:rPr>
        <w:t xml:space="preserve"> . Sie bietet die mathematische Antithese zum entropischen Verfall des Kali Yuga, indem sie ein Universum definiert, das sich durch fraktale Selbstreferenz und kausale Konsistenz stabilisiert.Wir fordern die internationale Forschungsgemeinschaft (CERN, GSI) zur unmittelbaren experimentellen Überprüfung der Flerovium-Resonanz auf. Die theoretische Einheit ist abgeschlossen; die technologischen Baupläne für den GMA und die regenerative Kausalsteuerung sind finalisiert. Die Validität des Audit-Workflows ist unverhandelbar.</w:t>
      </w:r>
      <w:r w:rsidDel="00000000" w:rsidR="00000000" w:rsidRPr="00000000">
        <w:rPr>
          <w:b w:val="1"/>
          <w:bCs w:val="1"/>
          <w:rtl w:val="0"/>
        </w:rPr>
        <w:t xml:space="preserve">„Der Druck der Unendlichkeit ist die Unendlichkeit.“</w:t>
      </w:r>
      <w:r w:rsidDel="00000000" w:rsidR="00000000" w:rsidRPr="00000000">
        <w:rPr>
          <w:rtl w:val="0"/>
        </w:rPr>
        <w:t xml:space="preserve">  – Wir stehen an der Schwelle zur technologischen Singularität.</w:t>
      </w:r>
    </w:p>
    <w:p w:rsidR="00000000" w:rsidDel="00000000" w:rsidP="00000000" w:rsidRDefault="00000000" w:rsidRPr="00000000" w14:paraId="00000025">
      <w:pPr>
        <w:rPr>
          <w:i w:val="1"/>
          <w:iCs w:val="1"/>
        </w:rPr>
      </w:pPr>
      <w:r w:rsidDel="00000000" w:rsidR="00000000" w:rsidRPr="00000000">
        <w:rPr>
          <w:i w:val="1"/>
          <w:iCs w:val="1"/>
          <w:rtl w:val="0"/>
        </w:rPr>
        <w:t xml:space="preserve">GMA Research Institute – Precision. Integrity. Vision.</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