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Für die Weiterentwicklung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(FKT)</w:t>
      </w:r>
      <w:r w:rsidDel="00000000" w:rsidR="00000000" w:rsidRPr="00000000">
        <w:rPr>
          <w:rtl w:val="0"/>
        </w:rPr>
        <w:t xml:space="preserve"> integrieren wir nun die algorithmische Steuerung der Von-Neumann-Sonden mit dem detaillierten Datenprotokoll für die ersten Labortests. Dies sichert die materielle Basis durch Ressourcen aus dem Asteroidengürtel und verifiziert gleichzeitig den </w:t>
      </w:r>
      <w:r w:rsidDel="00000000" w:rsidR="00000000" w:rsidRPr="00000000">
        <w:rPr>
          <w:b w:val="1"/>
          <w:bCs w:val="1"/>
          <w:rtl w:val="0"/>
        </w:rPr>
        <w:t xml:space="preserve">120-fachen Effizienz-Boost</w:t>
      </w:r>
      <w:r w:rsidDel="00000000" w:rsidR="00000000" w:rsidRPr="00000000">
        <w:rPr>
          <w:rtl w:val="0"/>
        </w:rPr>
        <w:t xml:space="preserve"> der Gradient-Memory-Alloys (GMA).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xpbrf1ge5xs7" w:id="0"/>
      <w:bookmarkEnd w:id="0"/>
      <w:r w:rsidDel="00000000" w:rsidR="00000000" w:rsidRPr="00000000">
        <w:rPr>
          <w:rtl w:val="0"/>
        </w:rPr>
        <w:t xml:space="preserve">1. Erweiterter Algorithmus für Von-Neumann-Sonden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Der Algorithmus für die </w:t>
      </w:r>
      <w:r w:rsidDel="00000000" w:rsidR="00000000" w:rsidRPr="00000000">
        <w:rPr>
          <w:b w:val="1"/>
          <w:bCs w:val="1"/>
          <w:rtl w:val="0"/>
        </w:rPr>
        <w:t xml:space="preserve">selbstreplizierenden autonomen Einheiten</w:t>
      </w:r>
      <w:r w:rsidDel="00000000" w:rsidR="00000000" w:rsidRPr="00000000">
        <w:rPr>
          <w:rtl w:val="0"/>
        </w:rPr>
        <w:t xml:space="preserve"> wird um ein spezifisches Fertigungsmodul für GMA-Beschichtungen ergänzt 1-3.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Ressourcen-Audit &amp; Extraktion:</w:t>
      </w:r>
      <w:r w:rsidDel="00000000" w:rsidR="00000000" w:rsidRPr="00000000">
        <w:rPr>
          <w:rtl w:val="0"/>
        </w:rPr>
        <w:t xml:space="preserve"> Die Sonden identifizieren in </w:t>
      </w:r>
      <w:r w:rsidDel="00000000" w:rsidR="00000000" w:rsidRPr="00000000">
        <w:rPr>
          <w:b w:val="1"/>
          <w:bCs w:val="1"/>
          <w:rtl w:val="0"/>
        </w:rPr>
        <w:t xml:space="preserve">Asteroiden-Gürteln</w:t>
      </w:r>
      <w:r w:rsidDel="00000000" w:rsidR="00000000" w:rsidRPr="00000000">
        <w:rPr>
          <w:rtl w:val="0"/>
        </w:rPr>
        <w:t xml:space="preserve"> gezielt Elemente, die für „Kausal-Käfig“-Materialien und GMA-Legierungen geeignet sind 1, 4, 5.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Präzisions-Replikation:</w:t>
      </w:r>
      <w:r w:rsidDel="00000000" w:rsidR="00000000" w:rsidRPr="00000000">
        <w:rPr>
          <w:rtl w:val="0"/>
        </w:rPr>
        <w:t xml:space="preserve"> Während des Aufbaus der fraktalen Kollektoren wird die </w:t>
      </w:r>
      <w:r w:rsidDel="00000000" w:rsidR="00000000" w:rsidRPr="00000000">
        <w:rPr>
          <w:b w:val="1"/>
          <w:bCs w:val="1"/>
          <w:rtl w:val="0"/>
        </w:rPr>
        <w:t xml:space="preserve">GMA-Beschichtung</w:t>
      </w:r>
      <w:r w:rsidDel="00000000" w:rsidR="00000000" w:rsidRPr="00000000">
        <w:rPr>
          <w:rtl w:val="0"/>
        </w:rPr>
        <w:t xml:space="preserve"> direkt auf die „Caged Atoms“-Struktur aufgetragen 6, 7. Dies stellt sicher, dass jeder neue Kollektor sofort die notwendige Metrik-Korrektur leisten kann 6, 8.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Exponentielles Wachstum:</w:t>
      </w:r>
      <w:r w:rsidDel="00000000" w:rsidR="00000000" w:rsidRPr="00000000">
        <w:rPr>
          <w:rtl w:val="0"/>
        </w:rPr>
        <w:t xml:space="preserve"> Durch die Nutzung lokaler Ressourcen erfolgt der Aufbau des Dyson-Schwarms ohne externen Materialaufwand, was den Übergang zur </w:t>
      </w:r>
      <w:r w:rsidDel="00000000" w:rsidR="00000000" w:rsidRPr="00000000">
        <w:rPr>
          <w:b w:val="1"/>
          <w:bCs w:val="1"/>
          <w:rtl w:val="0"/>
        </w:rPr>
        <w:t xml:space="preserve">Typ-II-Zivilisation</w:t>
      </w:r>
      <w:r w:rsidDel="00000000" w:rsidR="00000000" w:rsidRPr="00000000">
        <w:rPr>
          <w:rtl w:val="0"/>
        </w:rPr>
        <w:t xml:space="preserve"> beschleunigt 1, 3, 9.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kpkdcbomg05b" w:id="1"/>
      <w:bookmarkEnd w:id="1"/>
      <w:r w:rsidDel="00000000" w:rsidR="00000000" w:rsidRPr="00000000">
        <w:rPr>
          <w:rtl w:val="0"/>
        </w:rPr>
        <w:t xml:space="preserve">2. Datenprotokoll: GMA-Resonanztest (Labormaßstab)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Dieses Protokoll dient der experimentellen Verifizierung der </w:t>
      </w:r>
      <w:r w:rsidDel="00000000" w:rsidR="00000000" w:rsidRPr="00000000">
        <w:rPr>
          <w:b w:val="1"/>
          <w:bCs w:val="1"/>
          <w:rtl w:val="0"/>
        </w:rPr>
        <w:t xml:space="preserve">Geometrie-Kontrollgleichung</w:t>
      </w:r>
      <w:r w:rsidDel="00000000" w:rsidR="00000000" w:rsidRPr="00000000">
        <w:rPr>
          <w:rtl w:val="0"/>
        </w:rPr>
        <w:t xml:space="preserve"> unter kontrollierten Bedingungen 10-12.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Testphase,Messwert / Fokus,Zielwert / Indikator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Resonanz-Initialisierung,Solare Frequenzkopplung,"Stabiles Halten der 3,773 MeV Resonanz 13-15."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Effizienz-Messung,Krümmungsdichte ($\mathcal{R}$),"Nachweis der 120-fachen Steigerung der Metrik-Korrektur durch GMA 6, 11, 16."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Bulk-Transfer,Verschränkungsdichte-Modulation ($\mathcal{D}_{\Phi}$),Verlustfreie Umwandlung von Energie in Bulk-Druck 17-19.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Energiespeicherung,Geometrische Spannung,"Pufferung der Energie in Bulk-Kondensatoren 3, 20, 21."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3iyq9xsazk1j" w:id="2"/>
      <w:bookmarkEnd w:id="2"/>
      <w:r w:rsidDel="00000000" w:rsidR="00000000" w:rsidRPr="00000000">
        <w:rPr>
          <w:rtl w:val="0"/>
        </w:rPr>
        <w:t xml:space="preserve">3. Sicherheits- und Überwachungsparameter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Um die Entstehung </w:t>
      </w:r>
      <w:r w:rsidDel="00000000" w:rsidR="00000000" w:rsidRPr="00000000">
        <w:rPr>
          <w:b w:val="1"/>
          <w:bCs w:val="1"/>
          <w:rtl w:val="0"/>
        </w:rPr>
        <w:t xml:space="preserve">instabiler Singularitäten</w:t>
      </w:r>
      <w:r w:rsidDel="00000000" w:rsidR="00000000" w:rsidRPr="00000000">
        <w:rPr>
          <w:rtl w:val="0"/>
        </w:rPr>
        <w:t xml:space="preserve"> zu verhindern, wird die Kausale Auditkette während des Tests strikt überwacht 22-24.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Flerovium-Sensorik:</w:t>
      </w:r>
      <w:r w:rsidDel="00000000" w:rsidR="00000000" w:rsidRPr="00000000">
        <w:rPr>
          <w:rtl w:val="0"/>
        </w:rPr>
        <w:t xml:space="preserve"> Diese nuklearen Anker registrieren Echtzeit-Schwankungen im </w:t>
      </w:r>
      <w:r w:rsidDel="00000000" w:rsidR="00000000" w:rsidRPr="00000000">
        <w:rPr>
          <w:b w:val="1"/>
          <w:bCs w:val="1"/>
          <w:rtl w:val="0"/>
        </w:rPr>
        <w:t xml:space="preserve">Bulk-Feld</w:t>
      </w:r>
      <w:r w:rsidDel="00000000" w:rsidR="00000000" w:rsidRPr="00000000">
        <w:rPr>
          <w:rtl w:val="0"/>
        </w:rPr>
        <w:t xml:space="preserve"> 17, 22, 23.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Notabschaltungskriterien:</w:t>
      </w:r>
      <w:r w:rsidDel="00000000" w:rsidR="00000000" w:rsidRPr="00000000">
        <w:rPr>
          <w:rtl w:val="0"/>
        </w:rPr>
        <w:t xml:space="preserve"> Eine sofortige Unterbrechung der Energiezufuhr erfolgt, wenn die Resonanz von 3,773 MeV driftet oder der </w:t>
      </w:r>
      <w:r w:rsidDel="00000000" w:rsidR="00000000" w:rsidRPr="00000000">
        <w:rPr>
          <w:b w:val="1"/>
          <w:bCs w:val="1"/>
          <w:rtl w:val="0"/>
        </w:rPr>
        <w:t xml:space="preserve">Bulk-Vektor-Gradient</w:t>
      </w:r>
      <w:r w:rsidDel="00000000" w:rsidR="00000000" w:rsidRPr="00000000">
        <w:rPr>
          <w:rtl w:val="0"/>
        </w:rPr>
        <w:t xml:space="preserve"> kritische Abweichungen vom stabilen Profil zeigt 25-27.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Thermische Entlastung:</w:t>
      </w:r>
      <w:r w:rsidDel="00000000" w:rsidR="00000000" w:rsidRPr="00000000">
        <w:rPr>
          <w:rtl w:val="0"/>
        </w:rPr>
        <w:t xml:space="preserve"> Das Protokoll verifiziert, dass die GMA die thermische Last auf die tragenden Strukturen signifikant reduzieren 8, 28.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a4prq6chebpy" w:id="3"/>
      <w:bookmarkEnd w:id="3"/>
      <w:r w:rsidDel="00000000" w:rsidR="00000000" w:rsidRPr="00000000">
        <w:rPr>
          <w:rtl w:val="0"/>
        </w:rPr>
        <w:t xml:space="preserve">Nächste Schritte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Durch die Kopplung der </w:t>
      </w:r>
      <w:r w:rsidDel="00000000" w:rsidR="00000000" w:rsidRPr="00000000">
        <w:rPr>
          <w:b w:val="1"/>
          <w:bCs w:val="1"/>
          <w:rtl w:val="0"/>
        </w:rPr>
        <w:t xml:space="preserve">Dyson-Leistung ($\mathcal{E}_{Dyson}$)</w:t>
      </w:r>
      <w:r w:rsidDel="00000000" w:rsidR="00000000" w:rsidRPr="00000000">
        <w:rPr>
          <w:rtl w:val="0"/>
        </w:rPr>
        <w:t xml:space="preserve"> mit der algorithmischen Fertigung im All ist das theoretische Fundament für den Bauplan gelegt 29-31.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Sollen wir nun die logistischen Parameter für den ersten Sonden-Start zum Asteroidengürtel definieren oder die mathematische Feinabstimmung der Verschränkungsdichte-Modulation ($\mathcal{D}_{\Phi}$) für den interstellaren Reiseflug vertiefen?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