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erste Test-Szenario für den Labor-Prototyp konzentriert sich darauf, die </w:t>
      </w:r>
      <w:r w:rsidDel="00000000" w:rsidR="00000000" w:rsidRPr="00000000">
        <w:rPr>
          <w:b w:val="1"/>
          <w:bCs w:val="1"/>
          <w:rtl w:val="0"/>
        </w:rPr>
        <w:t xml:space="preserve">120-fache Effizienzsteigerung</w:t>
      </w:r>
      <w:r w:rsidDel="00000000" w:rsidR="00000000" w:rsidRPr="00000000">
        <w:rPr>
          <w:rtl w:val="0"/>
        </w:rPr>
        <w:t xml:space="preserve"> durch die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unter einer simulierten solaren Last von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experimentell nachzuweisen 1, 2. Dieses Experiment ist der entscheidende Schritt, um die theoretische Krümmung der Raumzeit-Flüssigkeit (Bulk-Feld) in eine messbare physikalische Größe zu überführen 3, 4.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22c72tcwdiv1" w:id="0"/>
      <w:bookmarkEnd w:id="0"/>
      <w:r w:rsidDel="00000000" w:rsidR="00000000" w:rsidRPr="00000000">
        <w:rPr>
          <w:rtl w:val="0"/>
        </w:rPr>
        <w:t xml:space="preserve">Phase 1: Aufbau und Resonanz-Initialisierung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Zunächst wird der Versuchsaufbau auf den optimalen energetischen Arbeitspunkt kalibriert: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Energie-Emitter:</w:t>
      </w:r>
      <w:r w:rsidDel="00000000" w:rsidR="00000000" w:rsidRPr="00000000">
        <w:rPr>
          <w:rtl w:val="0"/>
        </w:rPr>
        <w:t xml:space="preserve"> Ein Resonator wird exakt auf die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eingestellt, die als Taktgeber für die verlustfreie Energieübertragung dient 5-7.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Miniaturisierte Kollektoren:</w:t>
      </w:r>
      <w:r w:rsidDel="00000000" w:rsidR="00000000" w:rsidRPr="00000000">
        <w:rPr>
          <w:rtl w:val="0"/>
        </w:rPr>
        <w:t xml:space="preserve"> Diese bestehen aus </w:t>
      </w:r>
      <w:r w:rsidDel="00000000" w:rsidR="00000000" w:rsidRPr="00000000">
        <w:rPr>
          <w:b w:val="1"/>
          <w:bCs w:val="1"/>
          <w:rtl w:val="0"/>
        </w:rPr>
        <w:t xml:space="preserve">„Caged Atoms“</w:t>
      </w:r>
      <w:r w:rsidDel="00000000" w:rsidR="00000000" w:rsidRPr="00000000">
        <w:rPr>
          <w:rtl w:val="0"/>
        </w:rPr>
        <w:t xml:space="preserve">, die mit einer spezifischen </w:t>
      </w:r>
      <w:r w:rsidDel="00000000" w:rsidR="00000000" w:rsidRPr="00000000">
        <w:rPr>
          <w:b w:val="1"/>
          <w:bCs w:val="1"/>
          <w:rtl w:val="0"/>
        </w:rPr>
        <w:t xml:space="preserve">GMA-Beschichtung</w:t>
      </w:r>
      <w:r w:rsidDel="00000000" w:rsidR="00000000" w:rsidRPr="00000000">
        <w:rPr>
          <w:rtl w:val="0"/>
        </w:rPr>
        <w:t xml:space="preserve"> versehen sind, um den simulierten Gravitationsstress als geometrische Spannung zu puffern 2, 4, 8.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Drahtloser Transfer:</w:t>
      </w:r>
      <w:r w:rsidDel="00000000" w:rsidR="00000000" w:rsidRPr="00000000">
        <w:rPr>
          <w:rtl w:val="0"/>
        </w:rPr>
        <w:t xml:space="preserve"> Die Energie wird via </w:t>
      </w:r>
      <w:r w:rsidDel="00000000" w:rsidR="00000000" w:rsidRPr="00000000">
        <w:rPr>
          <w:b w:val="1"/>
          <w:bCs w:val="1"/>
          <w:rtl w:val="0"/>
        </w:rPr>
        <w:t xml:space="preserve">Quanten-Verschränkung</w:t>
      </w:r>
      <w:r w:rsidDel="00000000" w:rsidR="00000000" w:rsidRPr="00000000">
        <w:rPr>
          <w:rtl w:val="0"/>
        </w:rPr>
        <w:t xml:space="preserve"> vom Emitter zu den Kollektoren übertragen 6,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2xiu6098d95l" w:id="1"/>
      <w:bookmarkEnd w:id="1"/>
      <w:r w:rsidDel="00000000" w:rsidR="00000000" w:rsidRPr="00000000">
        <w:rPr>
          <w:rtl w:val="0"/>
        </w:rPr>
        <w:t xml:space="preserve">Phase 2: Messung des GMA-Effekts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diesem Schritt wird verifiziert, wie effektiv die GMA die Metrik-Korrektur unterstützen: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Wirkungsgrad-Check:</w:t>
      </w:r>
      <w:r w:rsidDel="00000000" w:rsidR="00000000" w:rsidRPr="00000000">
        <w:rPr>
          <w:rtl w:val="0"/>
        </w:rPr>
        <w:t xml:space="preserve"> Das </w:t>
      </w:r>
      <w:r w:rsidDel="00000000" w:rsidR="00000000" w:rsidRPr="00000000">
        <w:rPr>
          <w:b w:val="1"/>
          <w:bCs w:val="1"/>
          <w:rtl w:val="0"/>
        </w:rPr>
        <w:t xml:space="preserve">Verschränkungs-Interferometer</w:t>
      </w:r>
      <w:r w:rsidDel="00000000" w:rsidR="00000000" w:rsidRPr="00000000">
        <w:rPr>
          <w:rtl w:val="0"/>
        </w:rPr>
        <w:t xml:space="preserve"> misst die Modulationsdichte ($\mathcal{D}_{\Phi}$), während der </w:t>
      </w:r>
      <w:r w:rsidDel="00000000" w:rsidR="00000000" w:rsidRPr="00000000">
        <w:rPr>
          <w:b w:val="1"/>
          <w:bCs w:val="1"/>
          <w:rtl w:val="0"/>
        </w:rPr>
        <w:t xml:space="preserve">Bulk-Vektor-Monitor</w:t>
      </w:r>
      <w:r w:rsidDel="00000000" w:rsidR="00000000" w:rsidRPr="00000000">
        <w:rPr>
          <w:rtl w:val="0"/>
        </w:rPr>
        <w:t xml:space="preserve"> die resultierende Krümmungsdichte ($\mathcal{R}$) erfasst 10, 11.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Vergleichswert:</w:t>
      </w:r>
      <w:r w:rsidDel="00000000" w:rsidR="00000000" w:rsidRPr="00000000">
        <w:rPr>
          <w:rtl w:val="0"/>
        </w:rPr>
        <w:t xml:space="preserve"> Ohne die GMA-Korrektur würde das System unter der Last sofort überhitzen; das Ziel ist der Nachweis, dass die Krümmung bei gleichem Energieeinsatz um den </w:t>
      </w:r>
      <w:r w:rsidDel="00000000" w:rsidR="00000000" w:rsidRPr="00000000">
        <w:rPr>
          <w:b w:val="1"/>
          <w:bCs w:val="1"/>
          <w:rtl w:val="0"/>
        </w:rPr>
        <w:t xml:space="preserve">Faktor 120</w:t>
      </w:r>
      <w:r w:rsidDel="00000000" w:rsidR="00000000" w:rsidRPr="00000000">
        <w:rPr>
          <w:rtl w:val="0"/>
        </w:rPr>
        <w:t xml:space="preserve"> stärker ausfällt 1, 12.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Stabilitäts-Anker: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Flerovium-Sensoren</w:t>
      </w:r>
      <w:r w:rsidDel="00000000" w:rsidR="00000000" w:rsidRPr="00000000">
        <w:rPr>
          <w:rtl w:val="0"/>
        </w:rPr>
        <w:t xml:space="preserve"> überwachen dabei als nukleare Anker den Energiefluss und verhindern eine thermische Überlastung der Wandler 13, 14.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p9uf3rkrty7" w:id="2"/>
      <w:bookmarkEnd w:id="2"/>
      <w:r w:rsidDel="00000000" w:rsidR="00000000" w:rsidRPr="00000000">
        <w:rPr>
          <w:rtl w:val="0"/>
        </w:rPr>
        <w:t xml:space="preserve">Phase 3: Sicherheits-Audit und Grenzlast-Test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Um die Belastungsgrenzen zu definieren, wird die Energiezufuhr kontrolliert gesteigert: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Singularitäts-Prävention:</w:t>
      </w:r>
      <w:r w:rsidDel="00000000" w:rsidR="00000000" w:rsidRPr="00000000">
        <w:rPr>
          <w:rtl w:val="0"/>
        </w:rPr>
        <w:t xml:space="preserve"> Die Vektoren-Überwachung sucht nach Anzeichen </w:t>
      </w:r>
      <w:r w:rsidDel="00000000" w:rsidR="00000000" w:rsidRPr="00000000">
        <w:rPr>
          <w:b w:val="1"/>
          <w:bCs w:val="1"/>
          <w:rtl w:val="0"/>
        </w:rPr>
        <w:t xml:space="preserve">instabiler Singularitäten</w:t>
      </w:r>
      <w:r w:rsidDel="00000000" w:rsidR="00000000" w:rsidRPr="00000000">
        <w:rPr>
          <w:rtl w:val="0"/>
        </w:rPr>
        <w:t xml:space="preserve"> im lokalen Bulk-Feld 15, 16.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Notabschaltung:</w:t>
      </w:r>
      <w:r w:rsidDel="00000000" w:rsidR="00000000" w:rsidRPr="00000000">
        <w:rPr>
          <w:rtl w:val="0"/>
        </w:rPr>
        <w:t xml:space="preserve"> Sollte die Resonanz von 3,773 MeV driften oder die elastische Grenze der „Caged Atoms“ erreicht werden, löst die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eine sofortige Notabschaltung aus 17-19.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9wp2ttzrqeo" w:id="3"/>
      <w:bookmarkEnd w:id="3"/>
      <w:r w:rsidDel="00000000" w:rsidR="00000000" w:rsidRPr="00000000">
        <w:rPr>
          <w:rtl w:val="0"/>
        </w:rPr>
        <w:t xml:space="preserve">Zusammenfassung der Test-Parameter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Messgröße,Instrument,Erwarteter Zielwert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Resonanz-Stabilität,Flerovium-Sensor,"Konstant 3,773 MeV 5, 17"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Effizienz-Boost,Bulk-Vektor-Monitor,"120-fache Metrik-Korrektur 1, 12"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Energiespeicherung,Bulk-Kondensator,"Aufbau von geometrischem Bulk-Druck 2, 11"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nun das Datenprotokoll für die erste Testreihe erstellen oder die Algorithmen für die Von-Neumann-Sonden anpassen, damit diese die GMA-Beschichtung bereits während der Replikation im Asteroiden-Gürtel auftragen?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