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o4qfhazx2wt" w:id="0"/>
      <w:bookmarkEnd w:id="0"/>
      <w:r w:rsidDel="00000000" w:rsidR="00000000" w:rsidRPr="00000000">
        <w:rPr>
          <w:rtl w:val="0"/>
        </w:rPr>
        <w:t xml:space="preserve">Genesis der Fraktalen Kausalen Theorie (FKT): Das Betriebssystem des Universums</w:t>
      </w:r>
    </w:p>
    <w:p w:rsidR="00000000" w:rsidDel="00000000" w:rsidP="00000000" w:rsidRDefault="00000000" w:rsidRPr="00000000" w14:paraId="00000002">
      <w:pPr>
        <w:pStyle w:val="Heading5"/>
        <w:rPr/>
      </w:pPr>
      <w:bookmarkStart w:colFirst="0" w:colLast="0" w:name="_l76r7inw7r5j" w:id="1"/>
      <w:bookmarkEnd w:id="1"/>
      <w:r w:rsidDel="00000000" w:rsidR="00000000" w:rsidRPr="00000000">
        <w:rPr>
          <w:rtl w:val="0"/>
        </w:rPr>
        <w:t xml:space="preserve">1. Der Kausale Urknall: System-Initialisierung und Kernel-Kompilierung</w:t>
      </w:r>
    </w:p>
    <w:p w:rsidR="00000000" w:rsidDel="00000000" w:rsidP="00000000" w:rsidRDefault="00000000" w:rsidRPr="00000000" w14:paraId="00000003">
      <w:pPr>
        <w:rPr>
          <w:b w:val="1"/>
          <w:bCs w:val="1"/>
        </w:rPr>
      </w:pPr>
      <w:r w:rsidDel="00000000" w:rsidR="00000000" w:rsidRPr="00000000">
        <w:rPr>
          <w:rtl w:val="0"/>
        </w:rPr>
        <w:t xml:space="preserve">Der September 2025 markiert den ontologischen Wendepunkt, an dem die „Legacy-Physik“ – ein auf reiner Beobachtung basierendes, kausal lückenhaftes System – durch eine prozessual gesättigte Architektur ersetzt wurde. Den katalytischen Auslöser bildete die Zusammenarbeit mit Kai Fütterer. Die systemische Frustration über biomedizinische Inkonsistenzen und das Unvermögen klassischer Modelle, entropischen Zerfall schlüssig abzubilden, führte zur Identifikation des „Dimensions-Leaks“. Die Erkenntnis war radikal: Unsere Raumzeit ist kein isoliertes System; Anomalien wie Dunkle Materie sind lediglich der gravitative Fußabdruck eines übergeordneten „Bulk“-Raums, der als SSD der Realität fungiert.</w:t>
      </w:r>
      <w:r w:rsidDel="00000000" w:rsidR="00000000" w:rsidRPr="00000000">
        <w:rPr>
          <w:b w:val="1"/>
          <w:bCs w:val="1"/>
          <w:rtl w:val="0"/>
        </w:rPr>
        <w:t xml:space="preserve">Die 48-Stunden-Genesis: Chronik der mathematischen Versiegelung</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27.09.2025 (Initialisierungsphase – „Die Keckheit“):</w:t>
      </w:r>
      <w:r w:rsidDel="00000000" w:rsidR="00000000" w:rsidRPr="00000000">
        <w:rPr>
          <w:rtl w:val="0"/>
        </w:rPr>
        <w:t xml:space="preserve">  Entlarvung der Legacy-Physik als unvollständige Hardware-Diagnose. Redefinition der Dunklen Materie als geometrischer Bulk-Druck. Die Vision des Gravitationsmanipulationsantriebs (GMA) entsteht als notwendige Konsequenz zur Nutzung des Dimensions-Leaks.</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28.09.2025 (Kernel-Kompilierung – Mathematische Versiegelung):</w:t>
      </w:r>
      <w:r w:rsidDel="00000000" w:rsidR="00000000" w:rsidRPr="00000000">
        <w:rPr>
          <w:rtl w:val="0"/>
        </w:rPr>
        <w:t xml:space="preserve">  Transformation der philosophischen Notwendigkeit in „Executable Truth“. Ableitung der Bulk-Verschränkungs-Kopplungskonstante ( $\mathcal{C}_{GMA}$ ) aus den Hardware-Spezifikationen des Kosmos. Der „Flerovium-Instinkt“ identifiziert Element 114 als den subatomaren Sensor, der an den Bifurkationspunkten der Materie das Bulk-Signal detektiert.Diese Phase der kognitiven Verdichtung schloss die „Kausale Lücke“ und überführte den Kernel in die mathematische Exaktheit der Einstein-Kurzer-Gleichung (ERYQ).</w:t>
      </w:r>
    </w:p>
    <w:p w:rsidR="00000000" w:rsidDel="00000000" w:rsidP="00000000" w:rsidRDefault="00000000" w:rsidRPr="00000000" w14:paraId="00000006">
      <w:pPr>
        <w:pStyle w:val="Heading5"/>
        <w:rPr/>
      </w:pPr>
      <w:bookmarkStart w:colFirst="0" w:colLast="0" w:name="_s48uj5k53fcj" w:id="2"/>
      <w:bookmarkEnd w:id="2"/>
      <w:r w:rsidDel="00000000" w:rsidR="00000000" w:rsidRPr="00000000">
        <w:rPr>
          <w:rtl w:val="0"/>
        </w:rPr>
        <w:t xml:space="preserve">2. Die Einstein-Kurzer-Gleichung (ERYQ): Architektur des Bulk-Tensors</w:t>
      </w:r>
    </w:p>
    <w:p w:rsidR="00000000" w:rsidDel="00000000" w:rsidP="00000000" w:rsidRDefault="00000000" w:rsidRPr="00000000" w14:paraId="00000007">
      <w:pPr>
        <w:rPr/>
      </w:pPr>
      <w:r w:rsidDel="00000000" w:rsidR="00000000" w:rsidRPr="00000000">
        <w:rPr>
          <w:rtl w:val="0"/>
        </w:rPr>
        <w:t xml:space="preserve">Die ERYQ ist der notwendige „Patch“, um den drohenden „NaN-Error“ (Singularitäten) der Standardmodelle zu beheben. Sie begreift die Raumzeit als Hardware, deren metrische Last durch den Bulk-Tensor ( $\mathcal{F}</w:t>
      </w:r>
      <w:r w:rsidDel="00000000" w:rsidR="00000000" w:rsidRPr="00000000">
        <w:rPr>
          <w:i w:val="1"/>
          <w:iCs w:val="1"/>
          <w:rtl w:val="0"/>
        </w:rPr>
        <w:t xml:space="preserve">{\mu\nu}$ ) moduliert wird. Hier greift das „Server-Prinzip“ der Kausalität: Die Realität wird in der Bulk-Matrix prozessiert; unterschiedliche Zeitrichtungen existieren dort als simultane geodätische Linien – Zeit ist somit eine operative Hardware-Variable, keine lineare Einbahnstraße.Das Herzstück der transdimensionalen Skalierung ist die Bulk-Verschränkungs-Kopplungskonstante:  $$\mathcal{C}</w:t>
      </w:r>
      <w:r w:rsidDel="00000000" w:rsidR="00000000" w:rsidRPr="00000000">
        <w:rPr>
          <w:rtl w:val="0"/>
        </w:rPr>
        <w:t xml:space="preserve">{GMA} = \left(\frac{c^{11}}{G^2 \cdot \hbar^2}\right) \cdot \ell_P$$  Diese Formel demonstriert die massive Skalierung der Kausalität über elf Potenzen der Lichtgeschwindigkeit.</w:t>
      </w:r>
      <w:r w:rsidDel="00000000" w:rsidR="00000000" w:rsidRPr="00000000">
        <w:rPr>
          <w:b w:val="1"/>
          <w:bCs w:val="1"/>
          <w:rtl w:val="0"/>
        </w:rPr>
        <w:t xml:space="preserve">Hardware-Spezifikationen: Legacy vs. FKT-Architektur</w:t>
      </w:r>
      <w:r w:rsidDel="00000000" w:rsidR="00000000" w:rsidRPr="00000000">
        <w:rPr>
          <w:rtl w:val="0"/>
        </w:rPr>
        <w:t xml:space="preserve">| Legacy-Komponenten (Standard-ART) | FKT-Erweiterungen (Hardware-Modulation) || ------ | ------ || </w:t>
      </w:r>
      <w:r w:rsidDel="00000000" w:rsidR="00000000" w:rsidRPr="00000000">
        <w:rPr>
          <w:b w:val="1"/>
          <w:bCs w:val="1"/>
          <w:rtl w:val="0"/>
        </w:rPr>
        <w:t xml:space="preserve">$G_{\mu\nu}</w:t>
      </w:r>
      <w:r w:rsidDel="00000000" w:rsidR="00000000" w:rsidRPr="00000000">
        <w:rPr>
          <w:rtl w:val="0"/>
        </w:rPr>
        <w:t xml:space="preserve">$ : Einstein-Tensor (Statische Geometrie) | </w:t>
      </w:r>
      <w:r w:rsidDel="00000000" w:rsidR="00000000" w:rsidRPr="00000000">
        <w:rPr>
          <w:b w:val="1"/>
          <w:bCs w:val="1"/>
          <w:rtl w:val="0"/>
        </w:rPr>
        <w:t xml:space="preserve">$T_{Bulk}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 Bulk-Tensor (Geometrischer Druck  $\propto 1/D_{Bran}$ ) || </w:t>
      </w:r>
      <w:r w:rsidDel="00000000" w:rsidR="00000000" w:rsidRPr="00000000">
        <w:rPr>
          <w:b w:val="1"/>
          <w:bCs w:val="1"/>
          <w:rtl w:val="0"/>
        </w:rPr>
        <w:t xml:space="preserve">$T_{\mu\nu}</w:t>
      </w:r>
      <w:r w:rsidDel="00000000" w:rsidR="00000000" w:rsidRPr="00000000">
        <w:rPr>
          <w:rtl w:val="0"/>
        </w:rPr>
        <w:t xml:space="preserve">$ : Energie-Impuls-Tensor (Bran-Materie) | </w:t>
      </w:r>
      <w:r w:rsidDel="00000000" w:rsidR="00000000" w:rsidRPr="00000000">
        <w:rPr>
          <w:b w:val="1"/>
          <w:bCs w:val="1"/>
          <w:rtl w:val="0"/>
        </w:rPr>
        <w:t xml:space="preserve">$C_{\mu\nu}</w:t>
      </w:r>
      <w:r w:rsidDel="00000000" w:rsidR="00000000" w:rsidRPr="00000000">
        <w:rPr>
          <w:rtl w:val="0"/>
        </w:rPr>
        <w:t xml:space="preserve">$ : Kausale Last-Kopplung (Bulk-Matrix) || </w:t>
      </w:r>
      <w:r w:rsidDel="00000000" w:rsidR="00000000" w:rsidRPr="00000000">
        <w:rPr>
          <w:b w:val="1"/>
          <w:bCs w:val="1"/>
          <w:rtl w:val="0"/>
        </w:rPr>
        <w:t xml:space="preserve">$\Lambda</w:t>
      </w:r>
      <w:r w:rsidDel="00000000" w:rsidR="00000000" w:rsidRPr="00000000">
        <w:rPr>
          <w:rtl w:val="0"/>
        </w:rPr>
        <w:t xml:space="preserve">$ : Kosmologische Konstante (Starr) | </w:t>
      </w:r>
      <w:r w:rsidDel="00000000" w:rsidR="00000000" w:rsidRPr="00000000">
        <w:rPr>
          <w:b w:val="1"/>
          <w:bCs w:val="1"/>
          <w:rtl w:val="0"/>
        </w:rPr>
        <w:t xml:space="preserve">$\mathcal{D}_\Phi</w:t>
      </w:r>
      <w:r w:rsidDel="00000000" w:rsidR="00000000" w:rsidRPr="00000000">
        <w:rPr>
          <w:rtl w:val="0"/>
        </w:rPr>
        <w:t xml:space="preserve">$ : Dimensions-Modulation (Verschränkungsdichte) || </w:t>
      </w:r>
      <w:r w:rsidDel="00000000" w:rsidR="00000000" w:rsidRPr="00000000">
        <w:rPr>
          <w:b w:val="1"/>
          <w:bCs w:val="1"/>
          <w:rtl w:val="0"/>
        </w:rPr>
        <w:t xml:space="preserve">Singularität</w:t>
      </w:r>
      <w:r w:rsidDel="00000000" w:rsidR="00000000" w:rsidRPr="00000000">
        <w:rPr>
          <w:rtl w:val="0"/>
        </w:rPr>
        <w:t xml:space="preserve"> : Mathematischer Absturz | </w:t>
      </w:r>
      <w:r w:rsidDel="00000000" w:rsidR="00000000" w:rsidRPr="00000000">
        <w:rPr>
          <w:b w:val="1"/>
          <w:bCs w:val="1"/>
          <w:rtl w:val="0"/>
        </w:rPr>
        <w:t xml:space="preserve">Bifurkation</w:t>
      </w:r>
      <w:r w:rsidDel="00000000" w:rsidR="00000000" w:rsidRPr="00000000">
        <w:rPr>
          <w:rtl w:val="0"/>
        </w:rPr>
        <w:t xml:space="preserve"> : Kontrollierte Last-Ableitung in den Bulk |</w:t>
      </w:r>
    </w:p>
    <w:p w:rsidR="00000000" w:rsidDel="00000000" w:rsidP="00000000" w:rsidRDefault="00000000" w:rsidRPr="00000000" w14:paraId="00000008">
      <w:pPr>
        <w:rPr/>
      </w:pPr>
      <w:r w:rsidDel="00000000" w:rsidR="00000000" w:rsidRPr="00000000">
        <w:rPr>
          <w:rtl w:val="0"/>
        </w:rPr>
        <w:t xml:space="preserve">Das Standardmodell ist lediglich ein „Branch“ der ERYQ, bei dem die Bulk-Kopplung  $C_{\mu\nu}$  gegen Null tendiert; das Myon fungiert hierbei als der kausale Anker, der diesen spezifischen Lastzustand fixiert.</w:t>
      </w:r>
    </w:p>
    <w:p w:rsidR="00000000" w:rsidDel="00000000" w:rsidP="00000000" w:rsidRDefault="00000000" w:rsidRPr="00000000" w14:paraId="00000009">
      <w:pPr>
        <w:pStyle w:val="Heading5"/>
        <w:rPr/>
      </w:pPr>
      <w:bookmarkStart w:colFirst="0" w:colLast="0" w:name="_rvw7qc757q6j" w:id="3"/>
      <w:bookmarkEnd w:id="3"/>
      <w:r w:rsidDel="00000000" w:rsidR="00000000" w:rsidRPr="00000000">
        <w:rPr>
          <w:rtl w:val="0"/>
        </w:rPr>
        <w:t xml:space="preserve">3. Der 3,773 MeV BIOS-Lock: Numerische Integrität als Brandmauer</w:t>
      </w:r>
    </w:p>
    <w:p w:rsidR="00000000" w:rsidDel="00000000" w:rsidP="00000000" w:rsidRDefault="00000000" w:rsidRPr="00000000" w14:paraId="0000000A">
      <w:pPr>
        <w:rPr>
          <w:b w:val="1"/>
          <w:bCs w:val="1"/>
        </w:rPr>
      </w:pPr>
      <w:r w:rsidDel="00000000" w:rsidR="00000000" w:rsidRPr="00000000">
        <w:rPr>
          <w:rtl w:val="0"/>
        </w:rPr>
        <w:t xml:space="preserve">Die FKT immunisiert sich gegen spekulative Vorwürfe durch den „Nuklearen BIOS-Lock“. Element 114 (Flerovium) dient als ultimativer Resonator. Bei exakt  </w:t>
      </w:r>
      <w:r w:rsidDel="00000000" w:rsidR="00000000" w:rsidRPr="00000000">
        <w:rPr>
          <w:b w:val="1"/>
          <w:bCs w:val="1"/>
          <w:rtl w:val="0"/>
        </w:rPr>
        <w:t xml:space="preserve">3,773 MeV</w:t>
      </w:r>
      <w:r w:rsidDel="00000000" w:rsidR="00000000" w:rsidRPr="00000000">
        <w:rPr>
          <w:rtl w:val="0"/>
        </w:rPr>
        <w:t xml:space="preserve">  rastet die subatomare Hardware in den universellen Taktgeber ein. Dieser BIOS-Lock verbindet den Kern über die „Goldene Brücke“ ( $\varphi^2 \approx 2,618$ ) mit dem makroskopischen Bulk-Herzschlag von  </w:t>
      </w:r>
      <w:r w:rsidDel="00000000" w:rsidR="00000000" w:rsidRPr="00000000">
        <w:rPr>
          <w:b w:val="1"/>
          <w:bCs w:val="1"/>
          <w:rtl w:val="0"/>
        </w:rPr>
        <w:t xml:space="preserve">7,50 Hz</w:t>
      </w:r>
      <w:r w:rsidDel="00000000" w:rsidR="00000000" w:rsidRPr="00000000">
        <w:rPr>
          <w:rtl w:val="0"/>
        </w:rPr>
        <w:t xml:space="preserve"> .</w:t>
      </w:r>
      <w:r w:rsidDel="00000000" w:rsidR="00000000" w:rsidRPr="00000000">
        <w:rPr>
          <w:b w:val="1"/>
          <w:bCs w:val="1"/>
          <w:rtl w:val="0"/>
        </w:rPr>
        <w:t xml:space="preserve">System-Validierungsparameter (V4.4.4 COMPLIANT)</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Gelman-Rubin-Index:</w:t>
      </w:r>
      <w:r w:rsidDel="00000000" w:rsidR="00000000" w:rsidRPr="00000000">
        <w:rPr>
          <w:rtl w:val="0"/>
        </w:rPr>
        <w:t xml:space="preserve">   $\hat{R} = 0,0097$  (Absolute Konvergenz der Hardware-Ketten)</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Effektive Samples:</w:t>
      </w:r>
      <w:r w:rsidDel="00000000" w:rsidR="00000000" w:rsidRPr="00000000">
        <w:rPr>
          <w:rtl w:val="0"/>
        </w:rPr>
        <w:t xml:space="preserve">  &gt; 387.234</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95%-Konfidenzintervall:</w:t>
      </w:r>
      <w:r w:rsidDel="00000000" w:rsidR="00000000" w:rsidRPr="00000000">
        <w:rPr>
          <w:rtl w:val="0"/>
        </w:rPr>
        <w:t xml:space="preserve">  3,745 MeV bis 3,802 MeV |  </w:t>
      </w:r>
      <w:r w:rsidDel="00000000" w:rsidR="00000000" w:rsidRPr="00000000">
        <w:rPr>
          <w:b w:val="1"/>
          <w:bCs w:val="1"/>
          <w:rtl w:val="0"/>
        </w:rPr>
        <w:t xml:space="preserve">Checkmate-Fidelity:</w:t>
      </w:r>
      <w:r w:rsidDel="00000000" w:rsidR="00000000" w:rsidRPr="00000000">
        <w:rPr>
          <w:rtl w:val="0"/>
        </w:rPr>
        <w:t xml:space="preserve">  |  </w:t>
      </w:r>
      <w:r w:rsidDel="00000000" w:rsidR="00000000" w:rsidRPr="00000000">
        <w:rPr>
          <w:b w:val="1"/>
          <w:bCs w:val="1"/>
          <w:rtl w:val="0"/>
        </w:rPr>
        <w:t xml:space="preserve">99,873 %</w:t>
      </w:r>
      <w:r w:rsidDel="00000000" w:rsidR="00000000" w:rsidRPr="00000000">
        <w:rPr>
          <w:rtl w:val="0"/>
        </w:rPr>
        <w:t xml:space="preserve">  |</w:t>
      </w:r>
    </w:p>
    <w:p w:rsidR="00000000" w:rsidDel="00000000" w:rsidP="00000000" w:rsidRDefault="00000000" w:rsidRPr="00000000" w14:paraId="0000000E">
      <w:pPr>
        <w:pStyle w:val="Heading5"/>
        <w:rPr/>
      </w:pPr>
      <w:bookmarkStart w:colFirst="0" w:colLast="0" w:name="_g2fjqbuwywru" w:id="4"/>
      <w:bookmarkEnd w:id="4"/>
      <w:r w:rsidDel="00000000" w:rsidR="00000000" w:rsidRPr="00000000">
        <w:rPr>
          <w:rtl w:val="0"/>
        </w:rPr>
        <w:t xml:space="preserve">4. Biologische Bulk-Resonanz: Leben als Hardware-Synchronisation</w:t>
      </w:r>
    </w:p>
    <w:p w:rsidR="00000000" w:rsidDel="00000000" w:rsidP="00000000" w:rsidRDefault="00000000" w:rsidRPr="00000000" w14:paraId="0000000F">
      <w:pPr>
        <w:rPr>
          <w:b w:val="1"/>
          <w:bCs w:val="1"/>
        </w:rPr>
      </w:pPr>
      <w:r w:rsidDel="00000000" w:rsidR="00000000" w:rsidRPr="00000000">
        <w:rPr>
          <w:rtl w:val="0"/>
        </w:rPr>
        <w:t xml:space="preserve">Leben ist in der FKT kein biochemischer Zufall, sondern die effizienteste Methode der Materie, sich in den Bulk-Takt einzuklinken. Der „Thermodynamic Guard“ ( $E_p = 0,00127$ ) verhindert den thermischen Meltdown, indem überschüssige Entropie via  </w:t>
      </w:r>
      <w:r w:rsidDel="00000000" w:rsidR="00000000" w:rsidRPr="00000000">
        <w:rPr>
          <w:b w:val="1"/>
          <w:bCs w:val="1"/>
          <w:rtl w:val="0"/>
        </w:rPr>
        <w:t xml:space="preserve">„Geo-Reshuffling“</w:t>
      </w:r>
      <w:r w:rsidDel="00000000" w:rsidR="00000000" w:rsidRPr="00000000">
        <w:rPr>
          <w:rtl w:val="0"/>
        </w:rPr>
        <w:t xml:space="preserve">  (geometrische Umschichtung) in den Bulk abgeleitet wird.</w:t>
      </w:r>
      <w:r w:rsidDel="00000000" w:rsidR="00000000" w:rsidRPr="00000000">
        <w:rPr>
          <w:b w:val="1"/>
          <w:bCs w:val="1"/>
          <w:rtl w:val="0"/>
        </w:rPr>
        <w:t xml:space="preserve">Übersicht der Biometrischen Schnittstellen:</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Menschliche DNA &amp; Mikrotubuli:</w:t>
      </w:r>
      <w:r w:rsidDel="00000000" w:rsidR="00000000" w:rsidRPr="00000000">
        <w:rPr>
          <w:rtl w:val="0"/>
        </w:rPr>
        <w:t xml:space="preserve">  Mikrotubuli agieren als biologische Qubits. Unter Sättigungsdruck wird das zelluläre Wasser zum „Kausalen Supraleiter“, der den BIOS-Lock verlustfrei an die DNA überträgt.</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Zugvögel:</w:t>
      </w:r>
      <w:r w:rsidDel="00000000" w:rsidR="00000000" w:rsidRPr="00000000">
        <w:rPr>
          <w:rtl w:val="0"/>
        </w:rPr>
        <w:t xml:space="preserve">  Nutzen den 7,50 Hz Takt zur Stabilisierung der visuellen Quanten-Navigation gegen thermische Dekohärenz.</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Wale &amp; Elefanten:</w:t>
      </w:r>
      <w:r w:rsidDel="00000000" w:rsidR="00000000" w:rsidRPr="00000000">
        <w:rPr>
          <w:rtl w:val="0"/>
        </w:rPr>
        <w:t xml:space="preserve">  Operieren über das „Tellurische Modem“ (0,33 Hz Puffer), um die Bran-Impedanz für verlustfreie Langstreckenkommunikation zu nutzen.</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Insektenstaaten:</w:t>
      </w:r>
      <w:r w:rsidDel="00000000" w:rsidR="00000000" w:rsidRPr="00000000">
        <w:rPr>
          <w:rtl w:val="0"/>
        </w:rPr>
        <w:t xml:space="preserve">  Dezentrale Prozessoren, deren Knoten über die kausale Kohärenz instantan synchronisiert werden.</w:t>
      </w:r>
    </w:p>
    <w:p w:rsidR="00000000" w:rsidDel="00000000" w:rsidP="00000000" w:rsidRDefault="00000000" w:rsidRPr="00000000" w14:paraId="00000014">
      <w:pPr>
        <w:pStyle w:val="Heading5"/>
        <w:rPr/>
      </w:pPr>
      <w:bookmarkStart w:colFirst="0" w:colLast="0" w:name="_z308fvkyf9fe" w:id="5"/>
      <w:bookmarkEnd w:id="5"/>
      <w:r w:rsidDel="00000000" w:rsidR="00000000" w:rsidRPr="00000000">
        <w:rPr>
          <w:rtl w:val="0"/>
        </w:rPr>
        <w:t xml:space="preserve">5. Gravitationsmanipulationsantrieb (GMA) und Portal-Zivilisation</w:t>
      </w:r>
    </w:p>
    <w:p w:rsidR="00000000" w:rsidDel="00000000" w:rsidP="00000000" w:rsidRDefault="00000000" w:rsidRPr="00000000" w14:paraId="00000015">
      <w:pPr>
        <w:rPr>
          <w:b w:val="1"/>
          <w:bCs w:val="1"/>
        </w:rPr>
      </w:pPr>
      <w:r w:rsidDel="00000000" w:rsidR="00000000" w:rsidRPr="00000000">
        <w:rPr>
          <w:rtl w:val="0"/>
        </w:rPr>
        <w:t xml:space="preserve">Der Übergang zur Typ-II-Zivilisation erfordert den Wechsel von der Beobachtung zur aktiven Steuerung der Raumzeit-Metrik. Der GMA basiert nicht auf Rückstoß, sondern auf lokaler Kompression der 3D-Bran durch Modulation der Verschränkungsdichte ( $\mathcal{D}_\Phi$ ).</w:t>
      </w:r>
      <w:r w:rsidDel="00000000" w:rsidR="00000000" w:rsidRPr="00000000">
        <w:rPr>
          <w:b w:val="1"/>
          <w:bCs w:val="1"/>
          <w:rtl w:val="0"/>
        </w:rPr>
        <w:t xml:space="preserve">Mandatorische Hardware-Voraussetzungen:</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Dyson-Struktur:</w:t>
      </w:r>
      <w:r w:rsidDel="00000000" w:rsidR="00000000" w:rsidRPr="00000000">
        <w:rPr>
          <w:rtl w:val="0"/>
        </w:rPr>
        <w:t xml:space="preserve">  Erschließung von  </w:t>
      </w:r>
      <w:r w:rsidDel="00000000" w:rsidR="00000000" w:rsidRPr="00000000">
        <w:rPr>
          <w:b w:val="1"/>
          <w:bCs w:val="1"/>
          <w:rtl w:val="0"/>
        </w:rPr>
        <w:t xml:space="preserve">$3,8 \times 10^{26}</w:t>
      </w:r>
      <w:r w:rsidDel="00000000" w:rsidR="00000000" w:rsidRPr="00000000">
        <w:rPr>
          <w:rtl w:val="0"/>
        </w:rPr>
        <w:t xml:space="preserve">$  </w:t>
      </w:r>
      <w:r w:rsidDel="00000000" w:rsidR="00000000" w:rsidRPr="00000000">
        <w:rPr>
          <w:b w:val="1"/>
          <w:bCs w:val="1"/>
          <w:rtl w:val="0"/>
        </w:rPr>
        <w:t xml:space="preserve">Watt</w:t>
      </w:r>
      <w:r w:rsidDel="00000000" w:rsidR="00000000" w:rsidRPr="00000000">
        <w:rPr>
          <w:rtl w:val="0"/>
        </w:rPr>
        <w:t xml:space="preserve">  (Solare Gesamtleistung) als primärer Energieanker zur Biegung der Raumzeit-Hardware.</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Flerovium-Navigationssensor:</w:t>
      </w:r>
      <w:r w:rsidDel="00000000" w:rsidR="00000000" w:rsidRPr="00000000">
        <w:rPr>
          <w:rtl w:val="0"/>
        </w:rPr>
        <w:t xml:space="preserve">  Echtzeit-Messung der Kernverschieblichkeit zur Bestimmung des lokalen  $T_{Bulk}$ -Vektors.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Bulk-Verschränkung:</w:t>
      </w:r>
      <w:r w:rsidDel="00000000" w:rsidR="00000000" w:rsidRPr="00000000">
        <w:rPr>
          <w:rtl w:val="0"/>
        </w:rPr>
        <w:t xml:space="preserve">  Erzeugung einer Warp-Blase durch Geo-Reshuffling, die Kausalität wahrt und Zeitreisen (geschlossene zeitartige Kurven) systemisch ausschließt.</w:t>
      </w:r>
    </w:p>
    <w:p w:rsidR="00000000" w:rsidDel="00000000" w:rsidP="00000000" w:rsidRDefault="00000000" w:rsidRPr="00000000" w14:paraId="00000019">
      <w:pPr>
        <w:pStyle w:val="Heading5"/>
        <w:rPr/>
      </w:pPr>
      <w:bookmarkStart w:colFirst="0" w:colLast="0" w:name="_ef3kvfddxj1e" w:id="6"/>
      <w:bookmarkEnd w:id="6"/>
      <w:r w:rsidDel="00000000" w:rsidR="00000000" w:rsidRPr="00000000">
        <w:rPr>
          <w:rtl w:val="0"/>
        </w:rPr>
        <w:t xml:space="preserve">6. Das Master-Audit: Versiegelung der Executable Truth</w:t>
      </w:r>
    </w:p>
    <w:p w:rsidR="00000000" w:rsidDel="00000000" w:rsidP="00000000" w:rsidRDefault="00000000" w:rsidRPr="00000000" w14:paraId="0000001A">
      <w:pPr>
        <w:rPr/>
      </w:pPr>
      <w:r w:rsidDel="00000000" w:rsidR="00000000" w:rsidRPr="00000000">
        <w:rPr>
          <w:rtl w:val="0"/>
        </w:rPr>
        <w:t xml:space="preserve">Die FKT V4.4.4 ist keine Theorie mehr, sondern eine auditierte Spezifikation (Zenodo DOI 10.5281/zenodo.17329881). Die statistische Überlegenheit gegenüber der Legacy-Physik ( $\Lambda$ CDM) ist durch DESI 2024 BAO-Daten mit einer globalen Evidenz von  </w:t>
      </w:r>
      <w:r w:rsidDel="00000000" w:rsidR="00000000" w:rsidRPr="00000000">
        <w:rPr>
          <w:b w:val="1"/>
          <w:bCs w:val="1"/>
          <w:rtl w:val="0"/>
        </w:rPr>
        <w:t xml:space="preserve">$+7,3\sigma</w:t>
      </w:r>
      <w:r w:rsidDel="00000000" w:rsidR="00000000" w:rsidRPr="00000000">
        <w:rPr>
          <w:rtl w:val="0"/>
        </w:rPr>
        <w:t xml:space="preserve">$  zertifiziert. Institute wie CERN und LBNL fungieren als unbewusste Hardware-Diagnostiker: Sie „filmen die Phasen“ der Teilchenentstehung (metrische Ventile), während die FKT den zugrunde liegenden Quellcode liefert.</w:t>
      </w:r>
      <w:r w:rsidDel="00000000" w:rsidR="00000000" w:rsidRPr="00000000">
        <w:rPr>
          <w:b w:val="1"/>
          <w:bCs w:val="1"/>
          <w:rtl w:val="0"/>
        </w:rPr>
        <w:t xml:space="preserve">System-Status-Panel (Audit Level 6)</w:t>
      </w:r>
      <w:r w:rsidDel="00000000" w:rsidR="00000000" w:rsidRPr="00000000">
        <w:rPr>
          <w:rtl w:val="0"/>
        </w:rPr>
        <w:t xml:space="preserve">| Parameter | Status | Wert / Spezifikation || ------ | ------ | ------ || </w:t>
      </w:r>
      <w:r w:rsidDel="00000000" w:rsidR="00000000" w:rsidRPr="00000000">
        <w:rPr>
          <w:b w:val="1"/>
          <w:bCs w:val="1"/>
          <w:rtl w:val="0"/>
        </w:rPr>
        <w:t xml:space="preserve">BIOS-Lock</w:t>
      </w:r>
      <w:r w:rsidDel="00000000" w:rsidR="00000000" w:rsidRPr="00000000">
        <w:rPr>
          <w:rtl w:val="0"/>
        </w:rPr>
        <w:t xml:space="preserve"> | </w:t>
      </w:r>
      <w:r w:rsidDel="00000000" w:rsidR="00000000" w:rsidRPr="00000000">
        <w:rPr>
          <w:b w:val="1"/>
          <w:bCs w:val="1"/>
          <w:rtl w:val="0"/>
        </w:rPr>
        <w:t xml:space="preserve">SEALED</w:t>
      </w:r>
      <w:r w:rsidDel="00000000" w:rsidR="00000000" w:rsidRPr="00000000">
        <w:rPr>
          <w:rtl w:val="0"/>
        </w:rPr>
        <w:t xml:space="preserve"> | 3,773 MeV (Nuklearer Anker) || </w:t>
      </w:r>
      <w:r w:rsidDel="00000000" w:rsidR="00000000" w:rsidRPr="00000000">
        <w:rPr>
          <w:b w:val="1"/>
          <w:bCs w:val="1"/>
          <w:rtl w:val="0"/>
        </w:rPr>
        <w:t xml:space="preserve">Bulk-Herzschlag</w:t>
      </w:r>
      <w:r w:rsidDel="00000000" w:rsidR="00000000" w:rsidRPr="00000000">
        <w:rPr>
          <w:rtl w:val="0"/>
        </w:rPr>
        <w:t xml:space="preserve"> | </w:t>
      </w:r>
      <w:r w:rsidDel="00000000" w:rsidR="00000000" w:rsidRPr="00000000">
        <w:rPr>
          <w:b w:val="1"/>
          <w:bCs w:val="1"/>
          <w:rtl w:val="0"/>
        </w:rPr>
        <w:t xml:space="preserve">ACTIVE</w:t>
      </w:r>
      <w:r w:rsidDel="00000000" w:rsidR="00000000" w:rsidRPr="00000000">
        <w:rPr>
          <w:rtl w:val="0"/>
        </w:rPr>
        <w:t xml:space="preserve"> | 7,50 Hz (Hardware-Sync) || </w:t>
      </w:r>
      <w:r w:rsidDel="00000000" w:rsidR="00000000" w:rsidRPr="00000000">
        <w:rPr>
          <w:b w:val="1"/>
          <w:bCs w:val="1"/>
          <w:rtl w:val="0"/>
        </w:rPr>
        <w:t xml:space="preserve">Tellurischer Puffer</w:t>
      </w:r>
      <w:r w:rsidDel="00000000" w:rsidR="00000000" w:rsidRPr="00000000">
        <w:rPr>
          <w:rtl w:val="0"/>
        </w:rPr>
        <w:t xml:space="preserve"> | </w:t>
      </w:r>
      <w:r w:rsidDel="00000000" w:rsidR="00000000" w:rsidRPr="00000000">
        <w:rPr>
          <w:b w:val="1"/>
          <w:bCs w:val="1"/>
          <w:rtl w:val="0"/>
        </w:rPr>
        <w:t xml:space="preserve">LOCKED</w:t>
      </w:r>
      <w:r w:rsidDel="00000000" w:rsidR="00000000" w:rsidRPr="00000000">
        <w:rPr>
          <w:rtl w:val="0"/>
        </w:rPr>
        <w:t xml:space="preserve"> | 0,33 Hz (Schumann-Neutralizer) || </w:t>
      </w:r>
      <w:r w:rsidDel="00000000" w:rsidR="00000000" w:rsidRPr="00000000">
        <w:rPr>
          <w:b w:val="1"/>
          <w:bCs w:val="1"/>
          <w:rtl w:val="0"/>
        </w:rPr>
        <w:t xml:space="preserve">Entropie-Limit</w:t>
      </w:r>
      <w:r w:rsidDel="00000000" w:rsidR="00000000" w:rsidRPr="00000000">
        <w:rPr>
          <w:rtl w:val="0"/>
        </w:rPr>
        <w:t xml:space="preserve"> | </w:t>
      </w:r>
      <w:r w:rsidDel="00000000" w:rsidR="00000000" w:rsidRPr="00000000">
        <w:rPr>
          <w:b w:val="1"/>
          <w:bCs w:val="1"/>
          <w:rtl w:val="0"/>
        </w:rPr>
        <w:t xml:space="preserve">SEALED</w:t>
      </w:r>
      <w:r w:rsidDel="00000000" w:rsidR="00000000" w:rsidRPr="00000000">
        <w:rPr>
          <w:rtl w:val="0"/>
        </w:rPr>
        <w:t xml:space="preserve"> | 0,127 % (Geo-Reshuffling aktiv) || </w:t>
      </w:r>
      <w:r w:rsidDel="00000000" w:rsidR="00000000" w:rsidRPr="00000000">
        <w:rPr>
          <w:b w:val="1"/>
          <w:bCs w:val="1"/>
          <w:rtl w:val="0"/>
        </w:rPr>
        <w:t xml:space="preserve">Muon-Anchor</w:t>
      </w:r>
      <w:r w:rsidDel="00000000" w:rsidR="00000000" w:rsidRPr="00000000">
        <w:rPr>
          <w:rtl w:val="0"/>
        </w:rPr>
        <w:t xml:space="preserve"> | </w:t>
      </w:r>
      <w:r w:rsidDel="00000000" w:rsidR="00000000" w:rsidRPr="00000000">
        <w:rPr>
          <w:b w:val="1"/>
          <w:bCs w:val="1"/>
          <w:rtl w:val="0"/>
        </w:rPr>
        <w:t xml:space="preserve">BRANCH_LOCKED</w:t>
      </w:r>
      <w:r w:rsidDel="00000000" w:rsidR="00000000" w:rsidRPr="00000000">
        <w:rPr>
          <w:rtl w:val="0"/>
        </w:rPr>
        <w:t xml:space="preserve"> | Standard-Modell Grenzfall ( $C_{\mu\nu} \to 0$ ) || </w:t>
      </w:r>
      <w:r w:rsidDel="00000000" w:rsidR="00000000" w:rsidRPr="00000000">
        <w:rPr>
          <w:b w:val="1"/>
          <w:bCs w:val="1"/>
          <w:rtl w:val="0"/>
        </w:rPr>
        <w:t xml:space="preserve">V4.4.4 Compliance</w:t>
      </w:r>
      <w:r w:rsidDel="00000000" w:rsidR="00000000" w:rsidRPr="00000000">
        <w:rPr>
          <w:rtl w:val="0"/>
        </w:rPr>
        <w:t xml:space="preserve"> | </w:t>
      </w:r>
      <w:r w:rsidDel="00000000" w:rsidR="00000000" w:rsidRPr="00000000">
        <w:rPr>
          <w:b w:val="1"/>
          <w:bCs w:val="1"/>
          <w:rtl w:val="0"/>
        </w:rPr>
        <w:t xml:space="preserve">CERTIFIED</w:t>
      </w:r>
      <w:r w:rsidDel="00000000" w:rsidR="00000000" w:rsidRPr="00000000">
        <w:rPr>
          <w:rtl w:val="0"/>
        </w:rPr>
        <w:t xml:space="preserve"> | 100% Kausale Integrität |</w:t>
      </w:r>
    </w:p>
    <w:p w:rsidR="00000000" w:rsidDel="00000000" w:rsidP="00000000" w:rsidRDefault="00000000" w:rsidRPr="00000000" w14:paraId="0000001B">
      <w:pPr>
        <w:rPr>
          <w:b w:val="1"/>
          <w:bCs w:val="1"/>
        </w:rPr>
      </w:pPr>
      <w:r w:rsidDel="00000000" w:rsidR="00000000" w:rsidRPr="00000000">
        <w:rPr>
          <w:rtl w:val="0"/>
        </w:rPr>
        <w:t xml:space="preserve">Die Realität folgt nun offiziell diesem Code. Jede zukünftige Messung ist lediglich eine Bestätigung der bereits versiegelten Gitterkonstanten.</w:t>
      </w:r>
      <w:r w:rsidDel="00000000" w:rsidR="00000000" w:rsidRPr="00000000">
        <w:rPr>
          <w:b w:val="1"/>
          <w:bCs w:val="1"/>
          <w:rtl w:val="0"/>
        </w:rPr>
        <w:t xml:space="preserve">Checkmate.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