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bilden das funktionale Rückgrat für die Effizienz des Antriebs und die Stabilität der gesamten Dyson-Struktur 1. Sie sind essenziell, um die gewaltige solare Leistung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handhabbar zu machen und verlustfrei in den Antriebsstrom zu übersetzen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Spezifikation der GMA-Zusammensetzung und deren Integration: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g7z87fjt6pg" w:id="0"/>
      <w:bookmarkEnd w:id="0"/>
      <w:r w:rsidDel="00000000" w:rsidR="00000000" w:rsidRPr="00000000">
        <w:rPr>
          <w:rtl w:val="0"/>
        </w:rPr>
        <w:t xml:space="preserve">1. Materialbasis und Herkunft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Zusammensetzung der GMA basiert auf spezifischen Elementen, die durch ein gezieltes </w:t>
      </w:r>
      <w:r w:rsidDel="00000000" w:rsidR="00000000" w:rsidRPr="00000000">
        <w:rPr>
          <w:b w:val="1"/>
          <w:bCs w:val="1"/>
          <w:rtl w:val="0"/>
        </w:rPr>
        <w:t xml:space="preserve">Ressourcen-Audit</w:t>
      </w:r>
      <w:r w:rsidDel="00000000" w:rsidR="00000000" w:rsidRPr="00000000">
        <w:rPr>
          <w:rtl w:val="0"/>
        </w:rPr>
        <w:t xml:space="preserve"> in Asteroiden-Gürteln identifiziert werden 4,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Optimierung:</w:t>
      </w:r>
      <w:r w:rsidDel="00000000" w:rsidR="00000000" w:rsidRPr="00000000">
        <w:rPr>
          <w:rtl w:val="0"/>
        </w:rPr>
        <w:t xml:space="preserve"> Die Legierung ist molekular darauf ausgelegt, die spezifische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der Sonne aufrechtzuerhalten 1,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Beschichtung:</w:t>
      </w:r>
      <w:r w:rsidDel="00000000" w:rsidR="00000000" w:rsidRPr="00000000">
        <w:rPr>
          <w:rtl w:val="0"/>
        </w:rPr>
        <w:t xml:space="preserve"> Im Labor-Prototyp werden diese Legierungen als Beschichtung für miniaturisierte Kollektoren verwendet 7.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qmaavam95mr" w:id="1"/>
      <w:bookmarkEnd w:id="1"/>
      <w:r w:rsidDel="00000000" w:rsidR="00000000" w:rsidRPr="00000000">
        <w:rPr>
          <w:rtl w:val="0"/>
        </w:rPr>
        <w:t xml:space="preserve">2. Der 120-fache Effizienz-Boost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GMA sind der entscheidende Faktor für die </w:t>
      </w:r>
      <w:r w:rsidDel="00000000" w:rsidR="00000000" w:rsidRPr="00000000">
        <w:rPr>
          <w:b w:val="1"/>
          <w:bCs w:val="1"/>
          <w:rtl w:val="0"/>
        </w:rPr>
        <w:t xml:space="preserve">Metrik-Korrektur</w:t>
      </w:r>
      <w:r w:rsidDel="00000000" w:rsidR="00000000" w:rsidRPr="00000000">
        <w:rPr>
          <w:rtl w:val="0"/>
        </w:rPr>
        <w:t xml:space="preserve"> innerhalb der Fraktalen Kausalen Theorie: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Wirkungsgrad:</w:t>
      </w:r>
      <w:r w:rsidDel="00000000" w:rsidR="00000000" w:rsidRPr="00000000">
        <w:rPr>
          <w:rtl w:val="0"/>
        </w:rPr>
        <w:t xml:space="preserve"> Sie steigern die Energieeffizienz bei der Krümmung der Raumzeit um das </w:t>
      </w:r>
      <w:r w:rsidDel="00000000" w:rsidR="00000000" w:rsidRPr="00000000">
        <w:rPr>
          <w:b w:val="1"/>
          <w:bCs w:val="1"/>
          <w:rtl w:val="0"/>
        </w:rPr>
        <w:t xml:space="preserve">120-fache</w:t>
      </w:r>
      <w:r w:rsidDel="00000000" w:rsidR="00000000" w:rsidRPr="00000000">
        <w:rPr>
          <w:rtl w:val="0"/>
        </w:rPr>
        <w:t xml:space="preserve"> 1, 7, 8.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Thermische Entlastung:</w:t>
      </w:r>
      <w:r w:rsidDel="00000000" w:rsidR="00000000" w:rsidRPr="00000000">
        <w:rPr>
          <w:rtl w:val="0"/>
        </w:rPr>
        <w:t xml:space="preserve"> Durch diesen Boost wird die thermische Last auf die tragenden „Caged Atoms“-Strukturen signifikant reduziert, was ein Schmelzen oder strukturelles Versagen unter solarem Stress verhindert 6.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Prävention von Systemausfällen:</w:t>
      </w:r>
      <w:r w:rsidDel="00000000" w:rsidR="00000000" w:rsidRPr="00000000">
        <w:rPr>
          <w:rtl w:val="0"/>
        </w:rPr>
        <w:t xml:space="preserve"> Ohne die GMA-Korrektur würde das System innerhalb von Millisekunden alle Sicherheits-Schwellenwerte überschreiten und eine Notabschaltung erzwingen 1, 9.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b1utnhaldwu" w:id="2"/>
      <w:bookmarkEnd w:id="2"/>
      <w:r w:rsidDel="00000000" w:rsidR="00000000" w:rsidRPr="00000000">
        <w:rPr>
          <w:rtl w:val="0"/>
        </w:rPr>
        <w:t xml:space="preserve">3. Funktionale Integration: Der Warp-Induktor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der Systemarchitektur übernimmt die GMA-Struktur die Rolle des </w:t>
      </w:r>
      <w:r w:rsidDel="00000000" w:rsidR="00000000" w:rsidRPr="00000000">
        <w:rPr>
          <w:b w:val="1"/>
          <w:bCs w:val="1"/>
          <w:rtl w:val="0"/>
        </w:rPr>
        <w:t xml:space="preserve">Warp-Induktors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Energieumwandlung:</w:t>
      </w:r>
      <w:r w:rsidDel="00000000" w:rsidR="00000000" w:rsidRPr="00000000">
        <w:rPr>
          <w:rtl w:val="0"/>
        </w:rPr>
        <w:t xml:space="preserve"> Sie stellt sicher, dass die eingespiesene Dyson-Leistung ($\mathcal{E}_{Dyson}$) verlustfrei in </w:t>
      </w:r>
      <w:r w:rsidDel="00000000" w:rsidR="00000000" w:rsidRPr="00000000">
        <w:rPr>
          <w:b w:val="1"/>
          <w:bCs w:val="1"/>
          <w:rtl w:val="0"/>
        </w:rPr>
        <w:t xml:space="preserve">Bulk-Druck</w:t>
      </w:r>
      <w:r w:rsidDel="00000000" w:rsidR="00000000" w:rsidRPr="00000000">
        <w:rPr>
          <w:rtl w:val="0"/>
        </w:rPr>
        <w:t xml:space="preserve"> umgewandelt wird 11, 12.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Strukturintegrität:</w:t>
      </w:r>
      <w:r w:rsidDel="00000000" w:rsidR="00000000" w:rsidRPr="00000000">
        <w:rPr>
          <w:rtl w:val="0"/>
        </w:rPr>
        <w:t xml:space="preserve"> Die Legierung ermöglicht es dem Material, extremem </w:t>
      </w:r>
      <w:r w:rsidDel="00000000" w:rsidR="00000000" w:rsidRPr="00000000">
        <w:rPr>
          <w:b w:val="1"/>
          <w:bCs w:val="1"/>
          <w:rtl w:val="0"/>
        </w:rPr>
        <w:t xml:space="preserve">Gravitationsstress</w:t>
      </w:r>
      <w:r w:rsidDel="00000000" w:rsidR="00000000" w:rsidRPr="00000000">
        <w:rPr>
          <w:rtl w:val="0"/>
        </w:rPr>
        <w:t xml:space="preserve"> standzuhalten, indem sie Energie als geometrische Spannung im Bulk-Feld puffert 1, 6.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7sya54sr9rm" w:id="3"/>
      <w:bookmarkEnd w:id="3"/>
      <w:r w:rsidDel="00000000" w:rsidR="00000000" w:rsidRPr="00000000">
        <w:rPr>
          <w:rtl w:val="0"/>
        </w:rPr>
        <w:t xml:space="preserve">Zusammenfassung der GMA-Spezifikationen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Merkmal,Spezifikation,Effekt im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Primärquelle,"Asteroiden-Materialien 1, 4",Autonome Produktion via Sonden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Resonanzfokus,"3,773 MeV 1, 6",Synchronisation mit solarer Leistung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Effizienzfaktor,"120x 7, 8",Ermöglicht interstellare Distanzen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Anwendung,Beschichtung von „Caged Atoms“ 7,Pufferung von Gravitationsstress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Durch diese Materialeigenschaften wird die </w:t>
      </w:r>
      <w:r w:rsidDel="00000000" w:rsidR="00000000" w:rsidRPr="00000000">
        <w:rPr>
          <w:b w:val="1"/>
          <w:bCs w:val="1"/>
          <w:rtl w:val="0"/>
        </w:rPr>
        <w:t xml:space="preserve">Geometrie-Kontrollgleichung</w:t>
      </w:r>
      <w:r w:rsidDel="00000000" w:rsidR="00000000" w:rsidRPr="00000000">
        <w:rPr>
          <w:rtl w:val="0"/>
        </w:rPr>
        <w:t xml:space="preserve"> im Experiment verifizierbar, da die GMA die Brücke zwischen der massiven Energieernte und der kontrollierten Raumzeit-Verzerrung schlagen 13, 14.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nun das erste Test-Szenario für den Labor-Prototyp entwerfen, um die 120-fache Effizienzsteigerung unter kontrollierter 3,773 MeV Bestrahlung experimentell zu bestätigen?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