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C36" w:rsidRPr="00E60C36" w:rsidRDefault="00E60C36" w:rsidP="00E60C36">
      <w:pPr>
        <w:shd w:val="clear" w:color="auto" w:fill="FFFFFF"/>
        <w:spacing w:after="0" w:line="300" w:lineRule="atLeast"/>
        <w:outlineLvl w:val="0"/>
        <w:rPr>
          <w:rFonts w:ascii="Arial" w:eastAsia="Times New Roman" w:hAnsi="Arial" w:cs="Arial"/>
          <w:b/>
          <w:bCs/>
          <w:color w:val="0F1114"/>
          <w:spacing w:val="-1"/>
          <w:kern w:val="36"/>
          <w:sz w:val="24"/>
          <w:szCs w:val="24"/>
          <w:lang w:eastAsia="en-MY"/>
        </w:rPr>
      </w:pPr>
      <w:r w:rsidRPr="00E60C36">
        <w:rPr>
          <w:rFonts w:ascii="Arial" w:eastAsia="Times New Roman" w:hAnsi="Arial" w:cs="Arial"/>
          <w:b/>
          <w:bCs/>
          <w:color w:val="0F1114"/>
          <w:spacing w:val="-1"/>
          <w:kern w:val="36"/>
          <w:sz w:val="24"/>
          <w:szCs w:val="24"/>
          <w:lang w:eastAsia="en-MY"/>
        </w:rPr>
        <w:t>Module 1 Graded Assessment</w:t>
      </w:r>
    </w:p>
    <w:p w:rsidR="00431ACF" w:rsidRDefault="00431ACF"/>
    <w:p w:rsidR="00E60C36" w:rsidRPr="00E60C36" w:rsidRDefault="000D28A0" w:rsidP="00E60C36">
      <w:r>
        <w:t xml:space="preserve">6. </w:t>
      </w:r>
      <w:r w:rsidR="00E60C36" w:rsidRPr="00E60C36">
        <w:t>To visualize campaign performance across multiple social media platforms, the agency should adopt a centralized, scalable strategy that integrates data, enhances clarity, and drives actionable insights.</w:t>
      </w:r>
    </w:p>
    <w:p w:rsidR="00E60C36" w:rsidRPr="00E60C36" w:rsidRDefault="00E60C36" w:rsidP="00E60C36">
      <w:r w:rsidRPr="00E60C36">
        <w:rPr>
          <w:b/>
          <w:bCs/>
        </w:rPr>
        <w:t>Data Preparation</w:t>
      </w:r>
      <w:proofErr w:type="gramStart"/>
      <w:r w:rsidRPr="00E60C36">
        <w:rPr>
          <w:b/>
          <w:bCs/>
        </w:rPr>
        <w:t>:</w:t>
      </w:r>
      <w:proofErr w:type="gramEnd"/>
      <w:r w:rsidRPr="00E60C36">
        <w:br/>
        <w:t>Begin by aggregating data from platforms like Facebook, Instagram, LinkedIn, and X using APIs or third-party connectors. Normalize metrics (e.g., likes, shares, CTR) into a unified schema. Cleanse data to remove duplicates, validate formats, and ensure consistency across time zones and campaign tags.</w:t>
      </w:r>
    </w:p>
    <w:p w:rsidR="00E60C36" w:rsidRPr="00E60C36" w:rsidRDefault="00E60C36" w:rsidP="00E60C36">
      <w:r w:rsidRPr="00E60C36">
        <w:rPr>
          <w:b/>
          <w:bCs/>
        </w:rPr>
        <w:t>Tool Selection</w:t>
      </w:r>
      <w:proofErr w:type="gramStart"/>
      <w:r w:rsidRPr="00E60C36">
        <w:rPr>
          <w:b/>
          <w:bCs/>
        </w:rPr>
        <w:t>:</w:t>
      </w:r>
      <w:proofErr w:type="gramEnd"/>
      <w:r w:rsidRPr="00E60C36">
        <w:br/>
        <w:t xml:space="preserve">Use </w:t>
      </w:r>
      <w:r w:rsidRPr="00E60C36">
        <w:rPr>
          <w:b/>
          <w:bCs/>
        </w:rPr>
        <w:t>Power BI</w:t>
      </w:r>
      <w:r w:rsidRPr="00E60C36">
        <w:t xml:space="preserve"> or </w:t>
      </w:r>
      <w:r w:rsidRPr="00E60C36">
        <w:rPr>
          <w:b/>
          <w:bCs/>
        </w:rPr>
        <w:t>Tableau</w:t>
      </w:r>
      <w:r w:rsidRPr="00E60C36">
        <w:t xml:space="preserve"> for their robust data blending capabilities, real-time </w:t>
      </w:r>
      <w:proofErr w:type="spellStart"/>
      <w:r w:rsidRPr="00E60C36">
        <w:t>dashboarding</w:t>
      </w:r>
      <w:proofErr w:type="spellEnd"/>
      <w:r w:rsidRPr="00E60C36">
        <w:t>, and ease of sharing via web portals. These tools support direct API connections and allow for scheduled refreshes, ideal for dynamic campaign tracking.</w:t>
      </w:r>
    </w:p>
    <w:p w:rsidR="00E60C36" w:rsidRPr="00E60C36" w:rsidRDefault="00E60C36" w:rsidP="00E60C36">
      <w:r w:rsidRPr="00E60C36">
        <w:rPr>
          <w:b/>
          <w:bCs/>
        </w:rPr>
        <w:t>Visualization Techniques</w:t>
      </w:r>
      <w:proofErr w:type="gramStart"/>
      <w:r w:rsidRPr="00E60C36">
        <w:rPr>
          <w:b/>
          <w:bCs/>
        </w:rPr>
        <w:t>:</w:t>
      </w:r>
      <w:proofErr w:type="gramEnd"/>
      <w:r w:rsidRPr="00E60C36">
        <w:br/>
        <w:t>Design dashboards with layered views:</w:t>
      </w:r>
    </w:p>
    <w:p w:rsidR="00E60C36" w:rsidRPr="00E60C36" w:rsidRDefault="00E60C36" w:rsidP="00E60C36">
      <w:pPr>
        <w:numPr>
          <w:ilvl w:val="0"/>
          <w:numId w:val="1"/>
        </w:numPr>
      </w:pPr>
      <w:r w:rsidRPr="00E60C36">
        <w:rPr>
          <w:b/>
          <w:bCs/>
        </w:rPr>
        <w:t>Engagement Rates:</w:t>
      </w:r>
      <w:r w:rsidRPr="00E60C36">
        <w:t xml:space="preserve"> Use heat maps and trend lines to show platform-specific performance over time.</w:t>
      </w:r>
    </w:p>
    <w:p w:rsidR="00E60C36" w:rsidRPr="00E60C36" w:rsidRDefault="00E60C36" w:rsidP="00E60C36">
      <w:pPr>
        <w:numPr>
          <w:ilvl w:val="0"/>
          <w:numId w:val="1"/>
        </w:numPr>
      </w:pPr>
      <w:r w:rsidRPr="00E60C36">
        <w:rPr>
          <w:b/>
          <w:bCs/>
        </w:rPr>
        <w:t>Conversion Metrics:</w:t>
      </w:r>
      <w:r w:rsidRPr="00E60C36">
        <w:t xml:space="preserve"> Funnel charts to visualize drop-off points from ad click to purchase.</w:t>
      </w:r>
    </w:p>
    <w:p w:rsidR="00E60C36" w:rsidRPr="00E60C36" w:rsidRDefault="00E60C36" w:rsidP="00E60C36">
      <w:pPr>
        <w:numPr>
          <w:ilvl w:val="0"/>
          <w:numId w:val="1"/>
        </w:numPr>
      </w:pPr>
      <w:r w:rsidRPr="00E60C36">
        <w:rPr>
          <w:b/>
          <w:bCs/>
        </w:rPr>
        <w:t>ROI:</w:t>
      </w:r>
      <w:r w:rsidRPr="00E60C36">
        <w:t xml:space="preserve"> Combine cost data with conversion outcomes using KPI cards and bar charts segmented by campaign.</w:t>
      </w:r>
    </w:p>
    <w:p w:rsidR="00E60C36" w:rsidRPr="00E60C36" w:rsidRDefault="00E60C36" w:rsidP="00E60C36">
      <w:r w:rsidRPr="00E60C36">
        <w:rPr>
          <w:b/>
          <w:bCs/>
        </w:rPr>
        <w:t>Integration Strategy</w:t>
      </w:r>
      <w:proofErr w:type="gramStart"/>
      <w:r w:rsidRPr="00E60C36">
        <w:rPr>
          <w:b/>
          <w:bCs/>
        </w:rPr>
        <w:t>:</w:t>
      </w:r>
      <w:proofErr w:type="gramEnd"/>
      <w:r w:rsidRPr="00E60C36">
        <w:br/>
        <w:t xml:space="preserve">Employ a semantic layer or data warehouse (e.g., </w:t>
      </w:r>
      <w:proofErr w:type="spellStart"/>
      <w:r w:rsidRPr="00E60C36">
        <w:t>BigQuery</w:t>
      </w:r>
      <w:proofErr w:type="spellEnd"/>
      <w:r w:rsidRPr="00E60C36">
        <w:t xml:space="preserve"> or AWS Athena) to unify disparate sources. This ensures scalability and supports cross-platform comparisons.</w:t>
      </w:r>
    </w:p>
    <w:p w:rsidR="00E60C36" w:rsidRPr="00E60C36" w:rsidRDefault="00E60C36" w:rsidP="00E60C36">
      <w:r w:rsidRPr="00E60C36">
        <w:rPr>
          <w:b/>
          <w:bCs/>
        </w:rPr>
        <w:t>Business Impact</w:t>
      </w:r>
      <w:proofErr w:type="gramStart"/>
      <w:r w:rsidRPr="00E60C36">
        <w:rPr>
          <w:b/>
          <w:bCs/>
        </w:rPr>
        <w:t>:</w:t>
      </w:r>
      <w:proofErr w:type="gramEnd"/>
      <w:r w:rsidRPr="00E60C36">
        <w:br/>
        <w:t>These visualizations empower marketing leads to identify high-performing channels, optimize budget allocation, and tailor content strategies. Real-time insights reduce lag in decision-making and improve campaign agility, aligning analytics with business growth objectives.</w:t>
      </w:r>
    </w:p>
    <w:p w:rsidR="00E60C36" w:rsidRDefault="00E60C36">
      <w:r>
        <w:t>-----------------------------</w:t>
      </w:r>
    </w:p>
    <w:p w:rsidR="000D28A0" w:rsidRPr="000D28A0" w:rsidRDefault="000D28A0" w:rsidP="000D28A0">
      <w:r>
        <w:t xml:space="preserve">7. </w:t>
      </w:r>
      <w:r w:rsidRPr="000D28A0">
        <w:t xml:space="preserve">To </w:t>
      </w:r>
      <w:proofErr w:type="spellStart"/>
      <w:r w:rsidRPr="000D28A0">
        <w:t>analyze</w:t>
      </w:r>
      <w:proofErr w:type="spellEnd"/>
      <w:r w:rsidRPr="000D28A0">
        <w:t xml:space="preserve"> inventory performance across 1,000 stores, Excel, Tableau, and Power BI each offer distinct advantages depending on the scale, complexity, and reporting needs.</w:t>
      </w:r>
    </w:p>
    <w:p w:rsidR="000D28A0" w:rsidRPr="000D28A0" w:rsidRDefault="000D28A0" w:rsidP="000D28A0">
      <w:r w:rsidRPr="000D28A0">
        <w:rPr>
          <w:b/>
          <w:bCs/>
        </w:rPr>
        <w:t>Excel</w:t>
      </w:r>
      <w:r w:rsidRPr="000D28A0">
        <w:t xml:space="preserve"> is ideal for quick, ad hoc analysis and prototyping. Its strengths lie in pivot tables, conditional formatting, and formula-based logic. Excel integrates well with CSV exports from POS systems and supports Power Query for basic data transformation. However, it struggles with large datasets and lacks advanced visualization and automation features, making it less suitable for enterprise-wide reporting.</w:t>
      </w:r>
    </w:p>
    <w:p w:rsidR="000D28A0" w:rsidRPr="000D28A0" w:rsidRDefault="000D28A0" w:rsidP="000D28A0">
      <w:r w:rsidRPr="000D28A0">
        <w:rPr>
          <w:b/>
          <w:bCs/>
        </w:rPr>
        <w:t>Tableau</w:t>
      </w:r>
      <w:r w:rsidRPr="000D28A0">
        <w:t xml:space="preserve"> excels in interactive, high-performance visualizations. It handles large volumes of data efficiently and supports real-time dashboards via live connections to databases like SQL Server or cloud warehouses. Tableau’s drag-and-drop interface enables intuitive exploration of inventory trends, </w:t>
      </w:r>
      <w:proofErr w:type="spellStart"/>
      <w:r w:rsidRPr="000D28A0">
        <w:t>stockouts</w:t>
      </w:r>
      <w:proofErr w:type="spellEnd"/>
      <w:r w:rsidRPr="000D28A0">
        <w:t>, and regional performance. Its limitations include a steeper learning curve and higher licensing costs, especially for non-technical users.</w:t>
      </w:r>
    </w:p>
    <w:p w:rsidR="000D28A0" w:rsidRPr="000D28A0" w:rsidRDefault="000D28A0" w:rsidP="000D28A0">
      <w:r w:rsidRPr="000D28A0">
        <w:rPr>
          <w:b/>
          <w:bCs/>
        </w:rPr>
        <w:lastRenderedPageBreak/>
        <w:t>Power BI</w:t>
      </w:r>
      <w:r w:rsidRPr="000D28A0">
        <w:t xml:space="preserve"> offers a balanced approach. It integrates seamlessly with Microsoft 365, Azure, and SQL databases, making it ideal for organizations already using Microsoft infrastructure. Power BI supports robust data </w:t>
      </w:r>
      <w:proofErr w:type="spellStart"/>
      <w:r w:rsidRPr="000D28A0">
        <w:t>modeling</w:t>
      </w:r>
      <w:proofErr w:type="spellEnd"/>
      <w:r w:rsidRPr="000D28A0">
        <w:t xml:space="preserve">, DAX calculations, and scheduled refreshes. </w:t>
      </w:r>
      <w:proofErr w:type="gramStart"/>
      <w:r w:rsidRPr="000D28A0">
        <w:t>It’s</w:t>
      </w:r>
      <w:proofErr w:type="gramEnd"/>
      <w:r w:rsidRPr="000D28A0">
        <w:t xml:space="preserve"> cost-effective, scalable, and supports row-level security for store-specific access. Its visualization capabilities, while strong, are slightly less flexible than Tableau’s.</w:t>
      </w:r>
    </w:p>
    <w:p w:rsidR="000D28A0" w:rsidRPr="000D28A0" w:rsidRDefault="000D28A0" w:rsidP="000D28A0">
      <w:r w:rsidRPr="000D28A0">
        <w:rPr>
          <w:b/>
          <w:bCs/>
        </w:rPr>
        <w:t>Recommendation</w:t>
      </w:r>
      <w:proofErr w:type="gramStart"/>
      <w:r w:rsidRPr="000D28A0">
        <w:rPr>
          <w:b/>
          <w:bCs/>
        </w:rPr>
        <w:t>:</w:t>
      </w:r>
      <w:proofErr w:type="gramEnd"/>
      <w:r w:rsidRPr="000D28A0">
        <w:br/>
        <w:t>Use Excel for store-level analysts handling daily tasks. Deploy Power BI for centralized reporting and executive dashboards. Use Tableau when deep visual exploration or cross-platform integration is required. Together, these tools support a layered, role-based analytics strategy.</w:t>
      </w:r>
    </w:p>
    <w:p w:rsidR="00E60C36" w:rsidRDefault="002914A6">
      <w:r>
        <w:t>-----------------------------</w:t>
      </w:r>
    </w:p>
    <w:p w:rsidR="002914A6" w:rsidRPr="002914A6" w:rsidRDefault="002914A6" w:rsidP="002914A6">
      <w:r>
        <w:t xml:space="preserve">8. </w:t>
      </w:r>
      <w:r w:rsidRPr="002914A6">
        <w:t>To integrate Global Finance Corp’s multi-table data in Tableau, follow a structured, reliable approach that ensures clean relationships and analytical integrity.</w:t>
      </w:r>
    </w:p>
    <w:p w:rsidR="002914A6" w:rsidRPr="002914A6" w:rsidRDefault="002914A6" w:rsidP="002914A6">
      <w:r w:rsidRPr="002914A6">
        <w:rPr>
          <w:b/>
          <w:bCs/>
        </w:rPr>
        <w:t>1. Connect to Data Sources</w:t>
      </w:r>
      <w:proofErr w:type="gramStart"/>
      <w:r w:rsidRPr="002914A6">
        <w:rPr>
          <w:b/>
          <w:bCs/>
        </w:rPr>
        <w:t>:</w:t>
      </w:r>
      <w:proofErr w:type="gramEnd"/>
      <w:r w:rsidRPr="002914A6">
        <w:br/>
        <w:t xml:space="preserve">Use Tableau’s native connectors (e.g., SQL Server, Oracle, or cloud sources like AWS Athena) to access transaction history, portfolios, and service usage tables. Ensure credentials and permissions </w:t>
      </w:r>
      <w:proofErr w:type="gramStart"/>
      <w:r w:rsidRPr="002914A6">
        <w:t>are properly configured</w:t>
      </w:r>
      <w:proofErr w:type="gramEnd"/>
      <w:r w:rsidRPr="002914A6">
        <w:t>.</w:t>
      </w:r>
    </w:p>
    <w:p w:rsidR="002914A6" w:rsidRPr="002914A6" w:rsidRDefault="002914A6" w:rsidP="002914A6">
      <w:r w:rsidRPr="002914A6">
        <w:rPr>
          <w:b/>
          <w:bCs/>
        </w:rPr>
        <w:t>2. Validate Data Structure</w:t>
      </w:r>
      <w:proofErr w:type="gramStart"/>
      <w:r w:rsidRPr="002914A6">
        <w:rPr>
          <w:b/>
          <w:bCs/>
        </w:rPr>
        <w:t>:</w:t>
      </w:r>
      <w:proofErr w:type="gramEnd"/>
      <w:r w:rsidRPr="002914A6">
        <w:br/>
        <w:t xml:space="preserve">Inspect each table’s schema—check for primary keys, foreign keys, and consistent data types. Confirm that date formats, customer IDs, and financial metrics </w:t>
      </w:r>
      <w:proofErr w:type="gramStart"/>
      <w:r w:rsidRPr="002914A6">
        <w:t>are standardized</w:t>
      </w:r>
      <w:proofErr w:type="gramEnd"/>
      <w:r w:rsidRPr="002914A6">
        <w:t xml:space="preserve"> across sources.</w:t>
      </w:r>
    </w:p>
    <w:p w:rsidR="002914A6" w:rsidRPr="002914A6" w:rsidRDefault="002914A6" w:rsidP="002914A6">
      <w:r w:rsidRPr="002914A6">
        <w:rPr>
          <w:b/>
          <w:bCs/>
        </w:rPr>
        <w:t>3. Establish Relationships</w:t>
      </w:r>
      <w:proofErr w:type="gramStart"/>
      <w:r w:rsidRPr="002914A6">
        <w:rPr>
          <w:b/>
          <w:bCs/>
        </w:rPr>
        <w:t>:</w:t>
      </w:r>
      <w:proofErr w:type="gramEnd"/>
      <w:r w:rsidRPr="002914A6">
        <w:br/>
        <w:t xml:space="preserve">In Tableau’s Data Model pane, define logical relationships using shared keys (e.g., </w:t>
      </w:r>
      <w:proofErr w:type="spellStart"/>
      <w:r w:rsidRPr="002914A6">
        <w:t>CustomerID</w:t>
      </w:r>
      <w:proofErr w:type="spellEnd"/>
      <w:r w:rsidRPr="002914A6">
        <w:t xml:space="preserve">). Prefer relationships </w:t>
      </w:r>
      <w:proofErr w:type="gramStart"/>
      <w:r w:rsidRPr="002914A6">
        <w:t>over</w:t>
      </w:r>
      <w:proofErr w:type="gramEnd"/>
      <w:r w:rsidRPr="002914A6">
        <w:t xml:space="preserve"> joins to preserve table-level granularity and optimize performance. Use referential integrity settings to enforce clean links.</w:t>
      </w:r>
    </w:p>
    <w:p w:rsidR="002914A6" w:rsidRPr="002914A6" w:rsidRDefault="002914A6" w:rsidP="002914A6">
      <w:r w:rsidRPr="002914A6">
        <w:rPr>
          <w:b/>
          <w:bCs/>
        </w:rPr>
        <w:t>4. Data Cleaning &amp; Transformation</w:t>
      </w:r>
      <w:proofErr w:type="gramStart"/>
      <w:r w:rsidRPr="002914A6">
        <w:rPr>
          <w:b/>
          <w:bCs/>
        </w:rPr>
        <w:t>:</w:t>
      </w:r>
      <w:proofErr w:type="gramEnd"/>
      <w:r w:rsidRPr="002914A6">
        <w:br/>
        <w:t>Use Tableau Prep or calculated fields to handle nulls, outliers, and inconsistent labels. Apply filters to exclude irrelevant records (e.g., inactive accounts). Normalize currency and timestamp formats if needed.</w:t>
      </w:r>
    </w:p>
    <w:p w:rsidR="002914A6" w:rsidRPr="002914A6" w:rsidRDefault="002914A6" w:rsidP="002914A6">
      <w:r w:rsidRPr="002914A6">
        <w:rPr>
          <w:b/>
          <w:bCs/>
        </w:rPr>
        <w:t>5. Quality Assurance</w:t>
      </w:r>
      <w:proofErr w:type="gramStart"/>
      <w:r w:rsidRPr="002914A6">
        <w:rPr>
          <w:b/>
          <w:bCs/>
        </w:rPr>
        <w:t>:</w:t>
      </w:r>
      <w:proofErr w:type="gramEnd"/>
      <w:r w:rsidRPr="002914A6">
        <w:br/>
        <w:t>Cross-check record counts, aggregation logic, and sample outputs against source systems. Use summary dashboards to validate KPIs and ensure no duplication or loss during blending.</w:t>
      </w:r>
    </w:p>
    <w:p w:rsidR="002914A6" w:rsidRPr="002914A6" w:rsidRDefault="002914A6" w:rsidP="002914A6">
      <w:r w:rsidRPr="002914A6">
        <w:rPr>
          <w:b/>
          <w:bCs/>
        </w:rPr>
        <w:t>6. Troubleshooting</w:t>
      </w:r>
      <w:proofErr w:type="gramStart"/>
      <w:r w:rsidRPr="002914A6">
        <w:rPr>
          <w:b/>
          <w:bCs/>
        </w:rPr>
        <w:t>:</w:t>
      </w:r>
      <w:proofErr w:type="gramEnd"/>
      <w:r w:rsidRPr="002914A6">
        <w:br/>
        <w:t>If relationships fail, verify key uniqueness and data type compatibility. For performance issues, consider extracts or aggregated tables. Use Tableau’s Performance Recorder to identify bottlenecks.</w:t>
      </w:r>
    </w:p>
    <w:p w:rsidR="002914A6" w:rsidRPr="002914A6" w:rsidRDefault="002914A6" w:rsidP="002914A6">
      <w:r w:rsidRPr="002914A6">
        <w:t xml:space="preserve">This strategy ensures scalable, trustworthy analytics across customer </w:t>
      </w:r>
      <w:proofErr w:type="spellStart"/>
      <w:r w:rsidRPr="002914A6">
        <w:t>behavior</w:t>
      </w:r>
      <w:proofErr w:type="spellEnd"/>
      <w:r w:rsidRPr="002914A6">
        <w:t>, investment trends, and service engagement—empowering data-driven decisions.</w:t>
      </w:r>
    </w:p>
    <w:p w:rsidR="002914A6" w:rsidRDefault="003020F8">
      <w:r>
        <w:t>-----------------------</w:t>
      </w:r>
    </w:p>
    <w:p w:rsidR="00D82E64" w:rsidRPr="00D82E64" w:rsidRDefault="00D82E64" w:rsidP="00D82E64">
      <w:r>
        <w:t xml:space="preserve">9. </w:t>
      </w:r>
      <w:r w:rsidRPr="00D82E64">
        <w:t xml:space="preserve">To ensure high-quality analysis of Global Finance Corp’s customer satisfaction data, a structured </w:t>
      </w:r>
      <w:proofErr w:type="gramStart"/>
      <w:r w:rsidRPr="00D82E64">
        <w:t>data quality management strategy</w:t>
      </w:r>
      <w:proofErr w:type="gramEnd"/>
      <w:r w:rsidRPr="00D82E64">
        <w:t xml:space="preserve"> is essential.</w:t>
      </w:r>
    </w:p>
    <w:p w:rsidR="00D82E64" w:rsidRPr="00D82E64" w:rsidRDefault="00D82E64" w:rsidP="00D82E64">
      <w:r w:rsidRPr="00D82E64">
        <w:rPr>
          <w:b/>
          <w:bCs/>
        </w:rPr>
        <w:t>1. Assessment &amp; Profiling</w:t>
      </w:r>
      <w:proofErr w:type="gramStart"/>
      <w:r w:rsidRPr="00D82E64">
        <w:rPr>
          <w:b/>
          <w:bCs/>
        </w:rPr>
        <w:t>:</w:t>
      </w:r>
      <w:proofErr w:type="gramEnd"/>
      <w:r w:rsidRPr="00D82E64">
        <w:br/>
        <w:t xml:space="preserve">Begin by profiling the dataset to identify anomalies—rating scale inconsistencies (e.g., 1–5 vs. 1–10), </w:t>
      </w:r>
      <w:r w:rsidRPr="00D82E64">
        <w:lastRenderedPageBreak/>
        <w:t xml:space="preserve">null values, and duplicate entries. Use Tableau Prep or Python/Pandas to generate summary stats: </w:t>
      </w:r>
      <w:proofErr w:type="spellStart"/>
      <w:proofErr w:type="gramStart"/>
      <w:r w:rsidRPr="00D82E64">
        <w:t>df.describe</w:t>
      </w:r>
      <w:proofErr w:type="spellEnd"/>
      <w:r w:rsidRPr="00D82E64">
        <w:t>(</w:t>
      </w:r>
      <w:proofErr w:type="gramEnd"/>
      <w:r w:rsidRPr="00D82E64">
        <w:t xml:space="preserve">), </w:t>
      </w:r>
      <w:proofErr w:type="spellStart"/>
      <w:r w:rsidRPr="00D82E64">
        <w:t>df.isnull</w:t>
      </w:r>
      <w:proofErr w:type="spellEnd"/>
      <w:r w:rsidRPr="00D82E64">
        <w:t xml:space="preserve">().sum(), and </w:t>
      </w:r>
      <w:proofErr w:type="spellStart"/>
      <w:r w:rsidRPr="00D82E64">
        <w:t>df.duplicated</w:t>
      </w:r>
      <w:proofErr w:type="spellEnd"/>
      <w:r w:rsidRPr="00D82E64">
        <w:t>().sum().</w:t>
      </w:r>
    </w:p>
    <w:p w:rsidR="00D82E64" w:rsidRPr="00D82E64" w:rsidRDefault="00D82E64" w:rsidP="00D82E64">
      <w:r w:rsidRPr="00D82E64">
        <w:rPr>
          <w:b/>
          <w:bCs/>
        </w:rPr>
        <w:t>2. Standardization</w:t>
      </w:r>
      <w:proofErr w:type="gramStart"/>
      <w:r w:rsidRPr="00D82E64">
        <w:rPr>
          <w:b/>
          <w:bCs/>
        </w:rPr>
        <w:t>:</w:t>
      </w:r>
      <w:proofErr w:type="gramEnd"/>
      <w:r w:rsidRPr="00D82E64">
        <w:br/>
        <w:t>Normalize rating scales using a calculated field:</w:t>
      </w:r>
    </w:p>
    <w:p w:rsidR="00D82E64" w:rsidRPr="00D82E64" w:rsidRDefault="00D82E64" w:rsidP="00D82E64">
      <w:proofErr w:type="spellStart"/>
      <w:r w:rsidRPr="00D82E64">
        <w:t>StandardizedRating</w:t>
      </w:r>
      <w:proofErr w:type="spellEnd"/>
      <w:r w:rsidRPr="00D82E64">
        <w:t xml:space="preserve"> = IF [</w:t>
      </w:r>
      <w:proofErr w:type="spellStart"/>
      <w:r w:rsidRPr="00D82E64">
        <w:t>RatingScale</w:t>
      </w:r>
      <w:proofErr w:type="spellEnd"/>
      <w:r w:rsidRPr="00D82E64">
        <w:t xml:space="preserve">] = "1–10" THEN [Rating]/2 ELSE [Rating] END  </w:t>
      </w:r>
    </w:p>
    <w:p w:rsidR="00D82E64" w:rsidRPr="00D82E64" w:rsidRDefault="00D82E64" w:rsidP="00D82E64">
      <w:r w:rsidRPr="00D82E64">
        <w:t>Apply filters to exclude invalid or incomplete responses:</w:t>
      </w:r>
    </w:p>
    <w:p w:rsidR="00D82E64" w:rsidRPr="00D82E64" w:rsidRDefault="00D82E64" w:rsidP="00D82E64">
      <w:r w:rsidRPr="00D82E64">
        <w:t xml:space="preserve">IF </w:t>
      </w:r>
      <w:proofErr w:type="gramStart"/>
      <w:r w:rsidRPr="00D82E64">
        <w:t>ISNULL(</w:t>
      </w:r>
      <w:proofErr w:type="gramEnd"/>
      <w:r w:rsidRPr="00D82E64">
        <w:t xml:space="preserve">[Rating]) OR [Rating] = 0 THEN "Exclude" ELSE "Include" END  </w:t>
      </w:r>
    </w:p>
    <w:p w:rsidR="00D82E64" w:rsidRPr="00D82E64" w:rsidRDefault="00D82E64" w:rsidP="00D82E64">
      <w:r w:rsidRPr="00D82E64">
        <w:rPr>
          <w:b/>
          <w:bCs/>
        </w:rPr>
        <w:t>3. Deduplication</w:t>
      </w:r>
      <w:proofErr w:type="gramStart"/>
      <w:r w:rsidRPr="00D82E64">
        <w:rPr>
          <w:b/>
          <w:bCs/>
        </w:rPr>
        <w:t>:</w:t>
      </w:r>
      <w:proofErr w:type="gramEnd"/>
      <w:r w:rsidRPr="00D82E64">
        <w:br/>
        <w:t xml:space="preserve">Identify duplicates using composite keys (e.g., </w:t>
      </w:r>
      <w:proofErr w:type="spellStart"/>
      <w:r w:rsidRPr="00D82E64">
        <w:t>CustomerID</w:t>
      </w:r>
      <w:proofErr w:type="spellEnd"/>
      <w:r w:rsidRPr="00D82E64">
        <w:t xml:space="preserve"> + Timestamp). Retain the latest or most complete record using Tableau Prep’s deduplication logic or Python’s </w:t>
      </w:r>
      <w:proofErr w:type="spellStart"/>
      <w:r w:rsidRPr="00D82E64">
        <w:t>drop_</w:t>
      </w:r>
      <w:proofErr w:type="gramStart"/>
      <w:r w:rsidRPr="00D82E64">
        <w:t>duplicates</w:t>
      </w:r>
      <w:proofErr w:type="spellEnd"/>
      <w:r w:rsidRPr="00D82E64">
        <w:t>(</w:t>
      </w:r>
      <w:proofErr w:type="gramEnd"/>
      <w:r w:rsidRPr="00D82E64">
        <w:t>).</w:t>
      </w:r>
    </w:p>
    <w:p w:rsidR="00D82E64" w:rsidRPr="00D82E64" w:rsidRDefault="00D82E64" w:rsidP="00D82E64">
      <w:r w:rsidRPr="00D82E64">
        <w:rPr>
          <w:b/>
          <w:bCs/>
        </w:rPr>
        <w:t>4. Validation &amp; Impact Assessment</w:t>
      </w:r>
      <w:proofErr w:type="gramStart"/>
      <w:r w:rsidRPr="00D82E64">
        <w:rPr>
          <w:b/>
          <w:bCs/>
        </w:rPr>
        <w:t>:</w:t>
      </w:r>
      <w:proofErr w:type="gramEnd"/>
      <w:r w:rsidRPr="00D82E64">
        <w:br/>
        <w:t>Compare pre- and post-cleaning metrics—record count, average rating, and response rate. Use dashboards to visualize changes and assess how data quality affects satisfaction trends and segmentation.</w:t>
      </w:r>
    </w:p>
    <w:p w:rsidR="00D82E64" w:rsidRPr="00D82E64" w:rsidRDefault="00D82E64" w:rsidP="00D82E64">
      <w:r w:rsidRPr="00D82E64">
        <w:rPr>
          <w:b/>
          <w:bCs/>
        </w:rPr>
        <w:t>5. Documentation</w:t>
      </w:r>
      <w:proofErr w:type="gramStart"/>
      <w:r w:rsidRPr="00D82E64">
        <w:rPr>
          <w:b/>
          <w:bCs/>
        </w:rPr>
        <w:t>:</w:t>
      </w:r>
      <w:proofErr w:type="gramEnd"/>
      <w:r w:rsidRPr="00D82E64">
        <w:br/>
        <w:t>Maintain a data quality log detailing issues found, transformations applied, and rationale. Include metadata definitions and version history to support auditability and reproducibility.</w:t>
      </w:r>
    </w:p>
    <w:p w:rsidR="00D82E64" w:rsidRPr="00D82E64" w:rsidRDefault="00D82E64" w:rsidP="00D82E64">
      <w:r w:rsidRPr="00D82E64">
        <w:t>This approach ensures consistent, reliable insights while minimizing bias and error. Clean data enhances trust in analytics, supports strategic decisions, and aligns with governance standards.</w:t>
      </w:r>
    </w:p>
    <w:p w:rsidR="003020F8" w:rsidRDefault="00A53012">
      <w:r>
        <w:t>--------------------------</w:t>
      </w:r>
    </w:p>
    <w:p w:rsidR="00E57911" w:rsidRPr="00E57911" w:rsidRDefault="00E57911" w:rsidP="00E57911">
      <w:r>
        <w:t xml:space="preserve">10. </w:t>
      </w:r>
      <w:bookmarkStart w:id="0" w:name="_GoBack"/>
      <w:bookmarkEnd w:id="0"/>
      <w:r w:rsidRPr="00E57911">
        <w:t>To support Global Finance Corp’s AI-enhanced visualization projects, a standardized documentation protocol must ensure clarity, reproducibility, and governance across the lifecycle.</w:t>
      </w:r>
    </w:p>
    <w:p w:rsidR="00E57911" w:rsidRPr="00E57911" w:rsidRDefault="00E57911" w:rsidP="00E57911">
      <w:r w:rsidRPr="00E57911">
        <w:rPr>
          <w:b/>
          <w:bCs/>
        </w:rPr>
        <w:t>1. Documentation Standards</w:t>
      </w:r>
      <w:proofErr w:type="gramStart"/>
      <w:r w:rsidRPr="00E57911">
        <w:rPr>
          <w:b/>
          <w:bCs/>
        </w:rPr>
        <w:t>:</w:t>
      </w:r>
      <w:proofErr w:type="gramEnd"/>
      <w:r w:rsidRPr="00E57911">
        <w:br/>
        <w:t xml:space="preserve">Adopt a modular structure: </w:t>
      </w:r>
      <w:r w:rsidRPr="00E57911">
        <w:rPr>
          <w:i/>
          <w:iCs/>
        </w:rPr>
        <w:t>Project Overview</w:t>
      </w:r>
      <w:r w:rsidRPr="00E57911">
        <w:t xml:space="preserve">, </w:t>
      </w:r>
      <w:r w:rsidRPr="00E57911">
        <w:rPr>
          <w:i/>
          <w:iCs/>
        </w:rPr>
        <w:t>Data Sources</w:t>
      </w:r>
      <w:r w:rsidRPr="00E57911">
        <w:t xml:space="preserve">, </w:t>
      </w:r>
      <w:r w:rsidRPr="00E57911">
        <w:rPr>
          <w:i/>
          <w:iCs/>
        </w:rPr>
        <w:t>AI Models Used</w:t>
      </w:r>
      <w:r w:rsidRPr="00E57911">
        <w:t xml:space="preserve">, </w:t>
      </w:r>
      <w:r w:rsidRPr="00E57911">
        <w:rPr>
          <w:i/>
          <w:iCs/>
        </w:rPr>
        <w:t>Visualization Logic</w:t>
      </w:r>
      <w:r w:rsidRPr="00E57911">
        <w:t xml:space="preserve">, </w:t>
      </w:r>
      <w:r w:rsidRPr="00E57911">
        <w:rPr>
          <w:i/>
          <w:iCs/>
        </w:rPr>
        <w:t>Assumptions</w:t>
      </w:r>
      <w:r w:rsidRPr="00E57911">
        <w:t xml:space="preserve">, and </w:t>
      </w:r>
      <w:r w:rsidRPr="00E57911">
        <w:rPr>
          <w:i/>
          <w:iCs/>
        </w:rPr>
        <w:t>Limitations</w:t>
      </w:r>
      <w:r w:rsidRPr="00E57911">
        <w:t>. Use consistent naming conventions, metadata tagging, and standardized templates (e.g., in Confluence or SharePoint) to ensure uniformity.</w:t>
      </w:r>
    </w:p>
    <w:p w:rsidR="00E57911" w:rsidRPr="00E57911" w:rsidRDefault="00E57911" w:rsidP="00E57911">
      <w:r w:rsidRPr="00E57911">
        <w:rPr>
          <w:b/>
          <w:bCs/>
        </w:rPr>
        <w:t>2. AI Integration</w:t>
      </w:r>
      <w:proofErr w:type="gramStart"/>
      <w:r w:rsidRPr="00E57911">
        <w:rPr>
          <w:b/>
          <w:bCs/>
        </w:rPr>
        <w:t>:</w:t>
      </w:r>
      <w:proofErr w:type="gramEnd"/>
      <w:r w:rsidRPr="00E57911">
        <w:br/>
        <w:t xml:space="preserve">Document model type (e.g., clustering, regression), training data characteristics, feature selection rationale, and output interpretation. Include </w:t>
      </w:r>
      <w:proofErr w:type="spellStart"/>
      <w:r w:rsidRPr="00E57911">
        <w:t>explainability</w:t>
      </w:r>
      <w:proofErr w:type="spellEnd"/>
      <w:r w:rsidRPr="00E57911">
        <w:t xml:space="preserve"> metrics (e.g., SHAP values) and bias mitigation steps to ensure ethical transparency.</w:t>
      </w:r>
    </w:p>
    <w:p w:rsidR="00E57911" w:rsidRPr="00E57911" w:rsidRDefault="00E57911" w:rsidP="00E57911">
      <w:r w:rsidRPr="00E57911">
        <w:rPr>
          <w:b/>
          <w:bCs/>
        </w:rPr>
        <w:t>3. Version Control</w:t>
      </w:r>
      <w:proofErr w:type="gramStart"/>
      <w:r w:rsidRPr="00E57911">
        <w:rPr>
          <w:b/>
          <w:bCs/>
        </w:rPr>
        <w:t>:</w:t>
      </w:r>
      <w:proofErr w:type="gramEnd"/>
      <w:r w:rsidRPr="00E57911">
        <w:br/>
        <w:t>Use Git or enterprise tools like Azure DevOps to track changes in code, data pipelines, and dashboard configurations. Tag major releases and maintain changelogs to support rollback and auditability.</w:t>
      </w:r>
    </w:p>
    <w:p w:rsidR="00E57911" w:rsidRPr="00E57911" w:rsidRDefault="00E57911" w:rsidP="00E57911">
      <w:r w:rsidRPr="00E57911">
        <w:rPr>
          <w:b/>
          <w:bCs/>
        </w:rPr>
        <w:t>4. Quality Assurance</w:t>
      </w:r>
      <w:proofErr w:type="gramStart"/>
      <w:r w:rsidRPr="00E57911">
        <w:rPr>
          <w:b/>
          <w:bCs/>
        </w:rPr>
        <w:t>:</w:t>
      </w:r>
      <w:proofErr w:type="gramEnd"/>
      <w:r w:rsidRPr="00E57911">
        <w:br/>
        <w:t>Implement validation checkpoints: data integrity tests, model performance benchmarks, and visualization accuracy reviews. Use automated scripts to flag anomalies and maintain a QA dashboard for oversight.</w:t>
      </w:r>
    </w:p>
    <w:p w:rsidR="00E57911" w:rsidRPr="00E57911" w:rsidRDefault="00E57911" w:rsidP="00E57911">
      <w:r w:rsidRPr="00E57911">
        <w:rPr>
          <w:b/>
          <w:bCs/>
        </w:rPr>
        <w:lastRenderedPageBreak/>
        <w:t>5. Reproducibility &amp; Risk Mitigation</w:t>
      </w:r>
      <w:proofErr w:type="gramStart"/>
      <w:r w:rsidRPr="00E57911">
        <w:rPr>
          <w:b/>
          <w:bCs/>
        </w:rPr>
        <w:t>:</w:t>
      </w:r>
      <w:proofErr w:type="gramEnd"/>
      <w:r w:rsidRPr="00E57911">
        <w:br/>
        <w:t xml:space="preserve">Store all scripts, configurations, and sample datasets in a centralized repository. Document dependencies and environment settings. Include </w:t>
      </w:r>
      <w:proofErr w:type="spellStart"/>
      <w:r w:rsidRPr="00E57911">
        <w:t>fallback</w:t>
      </w:r>
      <w:proofErr w:type="spellEnd"/>
      <w:r w:rsidRPr="00E57911">
        <w:t xml:space="preserve"> logic for AI failures and define escalation protocols.</w:t>
      </w:r>
    </w:p>
    <w:p w:rsidR="00E57911" w:rsidRPr="00E57911" w:rsidRDefault="00E57911" w:rsidP="00E57911">
      <w:r w:rsidRPr="00E57911">
        <w:rPr>
          <w:b/>
          <w:bCs/>
        </w:rPr>
        <w:t>6. Stakeholder Communication</w:t>
      </w:r>
      <w:proofErr w:type="gramStart"/>
      <w:r w:rsidRPr="00E57911">
        <w:rPr>
          <w:b/>
          <w:bCs/>
        </w:rPr>
        <w:t>:</w:t>
      </w:r>
      <w:proofErr w:type="gramEnd"/>
      <w:r w:rsidRPr="00E57911">
        <w:br/>
        <w:t>Create executive summaries and annotated dashboards. Use embedded tooltips and guided walkthroughs to explain AI-driven insights. Maintain a feedback loop to refine outputs based on stakeholder input.</w:t>
      </w:r>
    </w:p>
    <w:p w:rsidR="00E57911" w:rsidRPr="00E57911" w:rsidRDefault="00E57911" w:rsidP="00E57911">
      <w:r w:rsidRPr="00E57911">
        <w:t>This protocol ensures transparency, trust, and scalability across AI-powered analytics initiatives.</w:t>
      </w:r>
    </w:p>
    <w:p w:rsidR="00A53012" w:rsidRDefault="00A53012"/>
    <w:sectPr w:rsidR="00A530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1C4743"/>
    <w:multiLevelType w:val="multilevel"/>
    <w:tmpl w:val="38F2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EF6"/>
    <w:rsid w:val="000D28A0"/>
    <w:rsid w:val="000D4EF6"/>
    <w:rsid w:val="002914A6"/>
    <w:rsid w:val="003020F8"/>
    <w:rsid w:val="00431ACF"/>
    <w:rsid w:val="00A53012"/>
    <w:rsid w:val="00D82E64"/>
    <w:rsid w:val="00E57911"/>
    <w:rsid w:val="00E60C3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4268"/>
  <w15:chartTrackingRefBased/>
  <w15:docId w15:val="{E6C51D33-C71F-4893-947D-574CC5338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60C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MY"/>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C36"/>
    <w:rPr>
      <w:rFonts w:ascii="Times New Roman" w:eastAsia="Times New Roman" w:hAnsi="Times New Roman" w:cs="Times New Roman"/>
      <w:b/>
      <w:bCs/>
      <w:kern w:val="36"/>
      <w:sz w:val="48"/>
      <w:szCs w:val="48"/>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54738">
      <w:bodyDiv w:val="1"/>
      <w:marLeft w:val="0"/>
      <w:marRight w:val="0"/>
      <w:marTop w:val="0"/>
      <w:marBottom w:val="0"/>
      <w:divBdr>
        <w:top w:val="none" w:sz="0" w:space="0" w:color="auto"/>
        <w:left w:val="none" w:sz="0" w:space="0" w:color="auto"/>
        <w:bottom w:val="none" w:sz="0" w:space="0" w:color="auto"/>
        <w:right w:val="none" w:sz="0" w:space="0" w:color="auto"/>
      </w:divBdr>
    </w:div>
    <w:div w:id="207495160">
      <w:bodyDiv w:val="1"/>
      <w:marLeft w:val="0"/>
      <w:marRight w:val="0"/>
      <w:marTop w:val="0"/>
      <w:marBottom w:val="0"/>
      <w:divBdr>
        <w:top w:val="none" w:sz="0" w:space="0" w:color="auto"/>
        <w:left w:val="none" w:sz="0" w:space="0" w:color="auto"/>
        <w:bottom w:val="none" w:sz="0" w:space="0" w:color="auto"/>
        <w:right w:val="none" w:sz="0" w:space="0" w:color="auto"/>
      </w:divBdr>
    </w:div>
    <w:div w:id="288051496">
      <w:bodyDiv w:val="1"/>
      <w:marLeft w:val="0"/>
      <w:marRight w:val="0"/>
      <w:marTop w:val="0"/>
      <w:marBottom w:val="0"/>
      <w:divBdr>
        <w:top w:val="none" w:sz="0" w:space="0" w:color="auto"/>
        <w:left w:val="none" w:sz="0" w:space="0" w:color="auto"/>
        <w:bottom w:val="none" w:sz="0" w:space="0" w:color="auto"/>
        <w:right w:val="none" w:sz="0" w:space="0" w:color="auto"/>
      </w:divBdr>
    </w:div>
    <w:div w:id="291642296">
      <w:bodyDiv w:val="1"/>
      <w:marLeft w:val="0"/>
      <w:marRight w:val="0"/>
      <w:marTop w:val="0"/>
      <w:marBottom w:val="0"/>
      <w:divBdr>
        <w:top w:val="none" w:sz="0" w:space="0" w:color="auto"/>
        <w:left w:val="none" w:sz="0" w:space="0" w:color="auto"/>
        <w:bottom w:val="none" w:sz="0" w:space="0" w:color="auto"/>
        <w:right w:val="none" w:sz="0" w:space="0" w:color="auto"/>
      </w:divBdr>
    </w:div>
    <w:div w:id="449326829">
      <w:bodyDiv w:val="1"/>
      <w:marLeft w:val="0"/>
      <w:marRight w:val="0"/>
      <w:marTop w:val="0"/>
      <w:marBottom w:val="0"/>
      <w:divBdr>
        <w:top w:val="none" w:sz="0" w:space="0" w:color="auto"/>
        <w:left w:val="none" w:sz="0" w:space="0" w:color="auto"/>
        <w:bottom w:val="none" w:sz="0" w:space="0" w:color="auto"/>
        <w:right w:val="none" w:sz="0" w:space="0" w:color="auto"/>
      </w:divBdr>
    </w:div>
    <w:div w:id="688339062">
      <w:bodyDiv w:val="1"/>
      <w:marLeft w:val="0"/>
      <w:marRight w:val="0"/>
      <w:marTop w:val="0"/>
      <w:marBottom w:val="0"/>
      <w:divBdr>
        <w:top w:val="none" w:sz="0" w:space="0" w:color="auto"/>
        <w:left w:val="none" w:sz="0" w:space="0" w:color="auto"/>
        <w:bottom w:val="none" w:sz="0" w:space="0" w:color="auto"/>
        <w:right w:val="none" w:sz="0" w:space="0" w:color="auto"/>
      </w:divBdr>
    </w:div>
    <w:div w:id="844323004">
      <w:bodyDiv w:val="1"/>
      <w:marLeft w:val="0"/>
      <w:marRight w:val="0"/>
      <w:marTop w:val="0"/>
      <w:marBottom w:val="0"/>
      <w:divBdr>
        <w:top w:val="none" w:sz="0" w:space="0" w:color="auto"/>
        <w:left w:val="none" w:sz="0" w:space="0" w:color="auto"/>
        <w:bottom w:val="none" w:sz="0" w:space="0" w:color="auto"/>
        <w:right w:val="none" w:sz="0" w:space="0" w:color="auto"/>
      </w:divBdr>
    </w:div>
    <w:div w:id="979533131">
      <w:bodyDiv w:val="1"/>
      <w:marLeft w:val="0"/>
      <w:marRight w:val="0"/>
      <w:marTop w:val="0"/>
      <w:marBottom w:val="0"/>
      <w:divBdr>
        <w:top w:val="none" w:sz="0" w:space="0" w:color="auto"/>
        <w:left w:val="none" w:sz="0" w:space="0" w:color="auto"/>
        <w:bottom w:val="none" w:sz="0" w:space="0" w:color="auto"/>
        <w:right w:val="none" w:sz="0" w:space="0" w:color="auto"/>
      </w:divBdr>
    </w:div>
    <w:div w:id="1237202872">
      <w:bodyDiv w:val="1"/>
      <w:marLeft w:val="0"/>
      <w:marRight w:val="0"/>
      <w:marTop w:val="0"/>
      <w:marBottom w:val="0"/>
      <w:divBdr>
        <w:top w:val="none" w:sz="0" w:space="0" w:color="auto"/>
        <w:left w:val="none" w:sz="0" w:space="0" w:color="auto"/>
        <w:bottom w:val="none" w:sz="0" w:space="0" w:color="auto"/>
        <w:right w:val="none" w:sz="0" w:space="0" w:color="auto"/>
      </w:divBdr>
    </w:div>
    <w:div w:id="1500851164">
      <w:bodyDiv w:val="1"/>
      <w:marLeft w:val="0"/>
      <w:marRight w:val="0"/>
      <w:marTop w:val="0"/>
      <w:marBottom w:val="0"/>
      <w:divBdr>
        <w:top w:val="none" w:sz="0" w:space="0" w:color="auto"/>
        <w:left w:val="none" w:sz="0" w:space="0" w:color="auto"/>
        <w:bottom w:val="none" w:sz="0" w:space="0" w:color="auto"/>
        <w:right w:val="none" w:sz="0" w:space="0" w:color="auto"/>
      </w:divBdr>
    </w:div>
    <w:div w:id="1623415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1281</Words>
  <Characters>7305</Characters>
  <Application>Microsoft Office Word</Application>
  <DocSecurity>0</DocSecurity>
  <Lines>60</Lines>
  <Paragraphs>17</Paragraphs>
  <ScaleCrop>false</ScaleCrop>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dc:creator>
  <cp:keywords/>
  <dc:description/>
  <cp:lastModifiedBy>Dennis</cp:lastModifiedBy>
  <cp:revision>8</cp:revision>
  <dcterms:created xsi:type="dcterms:W3CDTF">2025-09-18T18:13:00Z</dcterms:created>
  <dcterms:modified xsi:type="dcterms:W3CDTF">2025-09-18T18:19:00Z</dcterms:modified>
</cp:coreProperties>
</file>