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Waze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Waze leadership has asked the data team to build a machine learning model to predict user churn. The model is based on data collected from users of the Waze app.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4365"/>
        <w:gridCol w:w="2340"/>
        <w:gridCol w:w="2820"/>
        <w:tblGridChange w:id="0">
          <w:tblGrid>
            <w:gridCol w:w="1230"/>
            <w:gridCol w:w="4365"/>
            <w:gridCol w:w="234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1932901336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166475216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5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912797120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73706172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00121654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39941346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rHeight w:val="1481.36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12874683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64248083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161057865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056499672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6649364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709017529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94341701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13367922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87478030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09724559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00306214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69376440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48801397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43960485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21838910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40255666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72729945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673326465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21329819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08591785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8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503765926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sdt>
              <w:sdtPr>
                <w:alias w:val="PACE dropdown selector"/>
                <w:id w:val="1461108201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bookmarkStart w:colFirst="0" w:colLast="0" w:name="kix.k62kaea0idij" w:id="2"/>
    <w:bookmarkEnd w:id="2"/>
    <w:p w:rsidR="00000000" w:rsidDel="00000000" w:rsidP="00000000" w:rsidRDefault="00000000" w:rsidRPr="00000000" w14:paraId="0000004A">
      <w:pPr>
        <w:spacing w:line="240" w:lineRule="auto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The project timeline </w:t>
      </w:r>
      <w:r w:rsidDel="00000000" w:rsidR="00000000" w:rsidRPr="00000000">
        <w:rPr>
          <w:rtl w:val="0"/>
        </w:rPr>
        <w:t xml:space="preserve">would most likely have tighter deadlines in a professional context involving </w:t>
      </w:r>
      <w:r w:rsidDel="00000000" w:rsidR="00000000" w:rsidRPr="00000000">
        <w:rPr>
          <w:highlight w:val="white"/>
          <w:rtl w:val="0"/>
        </w:rPr>
        <w:t xml:space="preserve">actual clients and data scientists</w:t>
      </w:r>
      <w:r w:rsidDel="00000000" w:rsidR="00000000" w:rsidRPr="00000000">
        <w:rPr>
          <w:rtl w:val="0"/>
        </w:rPr>
        <w:t xml:space="preserve">.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4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