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689.597656250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Amber 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Rutley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rPr>
                <w:rFonts w:ascii="Roboto" w:cs="Roboto" w:eastAsia="Roboto" w:hAnsi="Roboto"/>
                <w:color w:val="4285f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BI professional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Charleston Drive, Cleveland, OH 10000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00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 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00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 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rPr>
                <w:rFonts w:ascii="Roboto" w:cs="Roboto" w:eastAsia="Roboto" w:hAnsi="Roboto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Professional Summary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Entry-level business intelligence professional seeking a full-time role in BI. Recently completed the Google Business Intelligence Professional Certificate — a three-month BI program that covers managing data retrieval; organizing data; interpreting data in different ways to fit the problem at hand; and creating data visualizations, dashboards, and other tools to provide stakeholder-ready insights.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rPr>
                <w:rFonts w:ascii="Roboto" w:cs="Roboto" w:eastAsia="Roboto" w:hAnsi="Roboto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Experience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Part Time Administrative Assistant / </w:t>
            </w:r>
            <w:r w:rsidDel="00000000" w:rsidR="00000000" w:rsidRPr="00000000">
              <w:rPr>
                <w:b w:val="0"/>
                <w:rtl w:val="0"/>
              </w:rPr>
              <w:t xml:space="preserve">Cleveland Public Schools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OCTOBER 2019 - PRESENT, Cleveland,  OH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administrative support for Supplemental Education and Services Programs including acting as a liaison. Conducts surveys and compiles data for reports. Maintains a database of 2,400 students. Assists with reports. 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Head Cashier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2018 - SEPTEMBER  2019,  Cleveland, OH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Monitored sales activities to ensure that customers received satisfactory services and quality goods. Created a positive atmosphere for clientele, responding to customer inquiries and complaints. Monitored, directed and prioritized all store front end activities in a fast paced environment.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AUGUST 2015 - JULY 2018,  Cleveland, OH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Assisted front end managers with tasks at registers, greeted clientele and assisted with questions. Completed computer based training program.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rPr>
                <w:rFonts w:ascii="Roboto" w:cs="Roboto" w:eastAsia="Roboto" w:hAnsi="Roboto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b w:val="0"/>
                <w:rtl w:val="0"/>
              </w:rPr>
              <w:t xml:space="preserve"> / Business Intelligence Professional Certificate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JANUARY  2020 - MAY 2020,  Online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extensive three-month job-ready Google Career Certificate training. Demonstrated hands-on experience with core BI practices and tools, including Google DataFlow and Tableau. Confidence in ETL and data modeling processes for extracting data from operational/transactional databases, transforming it into a usable form. Experienced creating and maintaining dashboards and effectively communicating data insights to stakeholders. Fluency in computer programming languages and a solid understanding of databases.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ONGC  School </w:t>
            </w:r>
            <w:r w:rsidDel="00000000" w:rsidR="00000000" w:rsidRPr="00000000">
              <w:rPr>
                <w:b w:val="0"/>
                <w:rtl w:val="0"/>
              </w:rPr>
              <w:t xml:space="preserve">/ High School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September 2012 - June 2016,  Cleveland, OH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936.0000000000001" w:right="936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