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5A39D" w14:textId="77777777" w:rsidR="009B6FE3" w:rsidRDefault="009B6FE3" w:rsidP="0748FB7E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B6F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Part 2: Evaluating </w:t>
      </w:r>
      <w:proofErr w:type="spellStart"/>
      <w:r w:rsidRPr="009B6F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FutureMart’s</w:t>
      </w:r>
      <w:proofErr w:type="spellEnd"/>
      <w:r w:rsidRPr="009B6FE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data architecture: Strengths and areas for improvement </w:t>
      </w:r>
    </w:p>
    <w:p w14:paraId="31A03B18" w14:textId="0361FBB5" w:rsidR="00D52B6F" w:rsidRPr="00CA74AE" w:rsidRDefault="009B6FE3" w:rsidP="00CA74AE">
      <w:pPr>
        <w:rPr>
          <w:rFonts w:ascii="Calibri" w:eastAsia="Calibri" w:hAnsi="Calibri" w:cs="Calibri"/>
          <w:i/>
          <w:iCs/>
          <w:sz w:val="24"/>
          <w:szCs w:val="24"/>
        </w:rPr>
      </w:pPr>
      <w:r w:rsidRPr="009B6FE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Assess </w:t>
      </w:r>
      <w:proofErr w:type="spellStart"/>
      <w:r w:rsidRPr="009B6FE3">
        <w:rPr>
          <w:rFonts w:ascii="Calibri" w:eastAsia="Calibri" w:hAnsi="Calibri" w:cs="Calibri"/>
          <w:color w:val="000000" w:themeColor="text1"/>
          <w:sz w:val="24"/>
          <w:szCs w:val="24"/>
        </w:rPr>
        <w:t>FutureMart’s</w:t>
      </w:r>
      <w:proofErr w:type="spellEnd"/>
      <w:r w:rsidRPr="009B6FE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enterprise data architecture by analyzing its key components. Identify strengths and areas for improvement to enhance efficiency, scalability, and security</w:t>
      </w:r>
      <w:r w:rsidR="0748FB7E" w:rsidRPr="009B6FE3">
        <w:rPr>
          <w:rFonts w:ascii="Calibri" w:eastAsia="Times New Roman" w:hAnsi="Calibri" w:cs="Calibri"/>
          <w:sz w:val="24"/>
          <w:szCs w:val="24"/>
        </w:rPr>
        <w:t xml:space="preserve">. </w:t>
      </w:r>
      <w:r w:rsidR="0748FB7E" w:rsidRPr="009B6FE3">
        <w:rPr>
          <w:rFonts w:ascii="Calibri" w:eastAsia="Times New Roman" w:hAnsi="Calibri" w:cs="Calibri"/>
          <w:i/>
          <w:iCs/>
          <w:sz w:val="24"/>
          <w:szCs w:val="24"/>
        </w:rPr>
        <w:t xml:space="preserve">Refer to </w:t>
      </w:r>
      <w:r w:rsidR="0748FB7E" w:rsidRPr="009B6FE3">
        <w:rPr>
          <w:rFonts w:ascii="Calibri" w:hAnsi="Calibri" w:cs="Calibri"/>
          <w:i/>
          <w:iCs/>
          <w:sz w:val="24"/>
          <w:szCs w:val="24"/>
        </w:rPr>
        <w:t xml:space="preserve">Part </w:t>
      </w:r>
      <w:r w:rsidRPr="009B6FE3">
        <w:rPr>
          <w:rFonts w:ascii="Calibri" w:hAnsi="Calibri" w:cs="Calibri"/>
          <w:i/>
          <w:iCs/>
          <w:sz w:val="24"/>
          <w:szCs w:val="24"/>
        </w:rPr>
        <w:t>2</w:t>
      </w:r>
      <w:r w:rsidR="0748FB7E" w:rsidRPr="009B6FE3">
        <w:rPr>
          <w:rFonts w:ascii="Calibri" w:hAnsi="Calibri" w:cs="Calibri"/>
          <w:i/>
          <w:iCs/>
          <w:sz w:val="24"/>
          <w:szCs w:val="24"/>
        </w:rPr>
        <w:t xml:space="preserve"> in the lab instructions.  </w:t>
      </w:r>
    </w:p>
    <w:p w14:paraId="5A742D0A" w14:textId="5FFE668D" w:rsidR="00CA74AE" w:rsidRDefault="00CA74AE" w:rsidP="00CA74AE">
      <w:pPr>
        <w:pStyle w:val="Heading4"/>
        <w:spacing w:before="319" w:after="319"/>
        <w:rPr>
          <w:rFonts w:ascii="Calibri" w:eastAsia="Calibri" w:hAnsi="Calibri" w:cs="Calibr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 xml:space="preserve">1. Name of the enterprise: </w:t>
      </w:r>
      <w:proofErr w:type="spellStart"/>
      <w:r w:rsidR="007E4D19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FutureMart</w:t>
      </w:r>
      <w:proofErr w:type="spellEnd"/>
    </w:p>
    <w:p w14:paraId="35F0AE0D" w14:textId="77777777" w:rsidR="00CA74AE" w:rsidRDefault="00CA74AE" w:rsidP="00CA74AE">
      <w:pPr>
        <w:pStyle w:val="Heading4"/>
        <w:spacing w:before="319" w:after="319"/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2. Strengths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06"/>
        <w:gridCol w:w="3281"/>
      </w:tblGrid>
      <w:tr w:rsidR="00CA74AE" w14:paraId="447E5345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6D520542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 xml:space="preserve">Sr. </w:t>
            </w: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2127" w:type="dxa"/>
            <w:vAlign w:val="center"/>
          </w:tcPr>
          <w:p w14:paraId="7EA09B53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Strength</w:t>
            </w:r>
          </w:p>
        </w:tc>
        <w:tc>
          <w:tcPr>
            <w:tcW w:w="3806" w:type="dxa"/>
            <w:vAlign w:val="center"/>
          </w:tcPr>
          <w:p w14:paraId="7273C426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81" w:type="dxa"/>
            <w:vAlign w:val="center"/>
          </w:tcPr>
          <w:p w14:paraId="5E38CF87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0CA74AE" w14:paraId="3D623303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3D4D671E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5D79B6B3" w14:textId="1CC7E387" w:rsidR="00CA74AE" w:rsidRDefault="007E4D19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API-first &amp; streaming integration</w:t>
            </w:r>
          </w:p>
        </w:tc>
        <w:tc>
          <w:tcPr>
            <w:tcW w:w="3806" w:type="dxa"/>
            <w:vAlign w:val="center"/>
          </w:tcPr>
          <w:p w14:paraId="2162D1D6" w14:textId="461FA261" w:rsidR="00CA74AE" w:rsidRDefault="000E23C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Use of robust tools like </w:t>
            </w:r>
            <w:r>
              <w:rPr>
                <w:rStyle w:val="Strong"/>
              </w:rPr>
              <w:t>AWS API Gateway</w:t>
            </w:r>
            <w:r>
              <w:t xml:space="preserve">, </w:t>
            </w:r>
            <w:r>
              <w:rPr>
                <w:rStyle w:val="Strong"/>
              </w:rPr>
              <w:t>Apache Kafka</w:t>
            </w:r>
            <w:r>
              <w:t xml:space="preserve">, and </w:t>
            </w:r>
            <w:r>
              <w:rPr>
                <w:rStyle w:val="Strong"/>
              </w:rPr>
              <w:t>Google Pub/Sub</w:t>
            </w:r>
            <w:r>
              <w:t xml:space="preserve"> ensures high-throughput real-time data exchange across platforms.</w:t>
            </w:r>
          </w:p>
        </w:tc>
        <w:tc>
          <w:tcPr>
            <w:tcW w:w="3281" w:type="dxa"/>
            <w:vAlign w:val="center"/>
          </w:tcPr>
          <w:p w14:paraId="6718CC4A" w14:textId="61925287" w:rsidR="00CA74AE" w:rsidRDefault="000E23CD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Enables seamless and scalable integration between e-commerce, CRM, and inventory systems for real-time insights.</w:t>
            </w:r>
          </w:p>
        </w:tc>
      </w:tr>
      <w:tr w:rsidR="00CA74AE" w14:paraId="55572577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7B4BC4CA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24C97D42" w14:textId="748D56B2" w:rsidR="00CA74AE" w:rsidRDefault="00F92FE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Cloud-native and modular design</w:t>
            </w:r>
          </w:p>
        </w:tc>
        <w:tc>
          <w:tcPr>
            <w:tcW w:w="3806" w:type="dxa"/>
            <w:vAlign w:val="center"/>
          </w:tcPr>
          <w:p w14:paraId="60D71AD3" w14:textId="2E38D6B5" w:rsidR="00CA74AE" w:rsidRDefault="00F92FE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Use of </w:t>
            </w:r>
            <w:r>
              <w:rPr>
                <w:rStyle w:val="Strong"/>
              </w:rPr>
              <w:t>Snowflake</w:t>
            </w:r>
            <w:r>
              <w:t xml:space="preserve">, </w:t>
            </w:r>
            <w:r>
              <w:rPr>
                <w:rStyle w:val="Strong"/>
              </w:rPr>
              <w:t>Amazon Redshift</w:t>
            </w:r>
            <w:r>
              <w:t xml:space="preserve">, </w:t>
            </w:r>
            <w:r>
              <w:rPr>
                <w:rStyle w:val="Strong"/>
              </w:rPr>
              <w:t>AWS Lambda</w:t>
            </w:r>
            <w:r>
              <w:t xml:space="preserve">, and </w:t>
            </w:r>
            <w:proofErr w:type="spellStart"/>
            <w:r>
              <w:rPr>
                <w:rStyle w:val="Strong"/>
              </w:rPr>
              <w:t>serverless</w:t>
            </w:r>
            <w:proofErr w:type="spellEnd"/>
            <w:r>
              <w:rPr>
                <w:rStyle w:val="Strong"/>
              </w:rPr>
              <w:t xml:space="preserve"> computing</w:t>
            </w:r>
            <w:r>
              <w:t xml:space="preserve"> ensures horizontal scaling.</w:t>
            </w:r>
          </w:p>
        </w:tc>
        <w:tc>
          <w:tcPr>
            <w:tcW w:w="3281" w:type="dxa"/>
            <w:vAlign w:val="center"/>
          </w:tcPr>
          <w:p w14:paraId="372D064A" w14:textId="2677A5B2" w:rsidR="00CA74AE" w:rsidRDefault="00F92FE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High scalability supports dynamic workload fluctuations and business growth without infrastructure bottlenecks.</w:t>
            </w:r>
          </w:p>
        </w:tc>
      </w:tr>
      <w:tr w:rsidR="00CA74AE" w14:paraId="284A8799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0B45253E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76B27B49" w14:textId="29C130F5" w:rsidR="00CA74AE" w:rsidRDefault="009D477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Multi-layered security tools</w:t>
            </w:r>
          </w:p>
        </w:tc>
        <w:tc>
          <w:tcPr>
            <w:tcW w:w="3806" w:type="dxa"/>
            <w:vAlign w:val="center"/>
          </w:tcPr>
          <w:p w14:paraId="38308F77" w14:textId="73A920D3" w:rsidR="00CA74AE" w:rsidRDefault="009D477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Incorporation of </w:t>
            </w:r>
            <w:r>
              <w:rPr>
                <w:rStyle w:val="Strong"/>
              </w:rPr>
              <w:t>encryption</w:t>
            </w:r>
            <w:r>
              <w:t xml:space="preserve">, </w:t>
            </w:r>
            <w:r>
              <w:rPr>
                <w:rStyle w:val="Strong"/>
              </w:rPr>
              <w:t>OAuth</w:t>
            </w:r>
            <w:r>
              <w:t xml:space="preserve">, </w:t>
            </w:r>
            <w:r>
              <w:rPr>
                <w:rStyle w:val="Strong"/>
              </w:rPr>
              <w:t>RBAC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Splunk</w:t>
            </w:r>
            <w:proofErr w:type="spellEnd"/>
            <w:r>
              <w:t xml:space="preserve">, and </w:t>
            </w:r>
            <w:r>
              <w:rPr>
                <w:rStyle w:val="Strong"/>
              </w:rPr>
              <w:t>GDPR compliance platforms (</w:t>
            </w:r>
            <w:proofErr w:type="spellStart"/>
            <w:r>
              <w:rPr>
                <w:rStyle w:val="Strong"/>
              </w:rPr>
              <w:t>OneTrust</w:t>
            </w:r>
            <w:proofErr w:type="spellEnd"/>
            <w:r>
              <w:rPr>
                <w:rStyle w:val="Strong"/>
              </w:rPr>
              <w:t>)</w:t>
            </w:r>
            <w:r>
              <w:t>.</w:t>
            </w:r>
          </w:p>
        </w:tc>
        <w:tc>
          <w:tcPr>
            <w:tcW w:w="3281" w:type="dxa"/>
            <w:vAlign w:val="center"/>
          </w:tcPr>
          <w:p w14:paraId="39FC8A18" w14:textId="46D448FD" w:rsidR="00CA74AE" w:rsidRDefault="009D4770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Strong defense against breaches and ensures compliance with international data privacy laws.</w:t>
            </w:r>
          </w:p>
        </w:tc>
      </w:tr>
    </w:tbl>
    <w:p w14:paraId="242C3512" w14:textId="77777777" w:rsidR="00CA74AE" w:rsidRDefault="00CA74AE" w:rsidP="00CA74AE">
      <w:pPr>
        <w:pStyle w:val="Heading4"/>
        <w:spacing w:before="319" w:after="319"/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</w:pPr>
      <w:r w:rsidRPr="0748FB7E">
        <w:rPr>
          <w:rFonts w:asciiTheme="minorHAnsi" w:eastAsiaTheme="minorEastAsia" w:hAnsiTheme="minorHAnsi" w:cstheme="minorBidi"/>
          <w:i w:val="0"/>
          <w:iCs w:val="0"/>
          <w:color w:val="000000" w:themeColor="text1"/>
          <w:sz w:val="24"/>
          <w:szCs w:val="24"/>
        </w:rPr>
        <w:t>3. Areas for improvement</w:t>
      </w:r>
    </w:p>
    <w:tbl>
      <w:tblPr>
        <w:tblW w:w="10207" w:type="dxa"/>
        <w:tblInd w:w="-44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6A0" w:firstRow="1" w:lastRow="0" w:firstColumn="1" w:lastColumn="0" w:noHBand="1" w:noVBand="1"/>
      </w:tblPr>
      <w:tblGrid>
        <w:gridCol w:w="993"/>
        <w:gridCol w:w="2127"/>
        <w:gridCol w:w="3827"/>
        <w:gridCol w:w="3260"/>
      </w:tblGrid>
      <w:tr w:rsidR="00CA74AE" w14:paraId="20CEA271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4EFCA750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r. N</w:t>
            </w: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o.</w:t>
            </w:r>
          </w:p>
        </w:tc>
        <w:tc>
          <w:tcPr>
            <w:tcW w:w="2127" w:type="dxa"/>
            <w:vAlign w:val="center"/>
          </w:tcPr>
          <w:p w14:paraId="4DAB959B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Area for improvement</w:t>
            </w:r>
          </w:p>
        </w:tc>
        <w:tc>
          <w:tcPr>
            <w:tcW w:w="3827" w:type="dxa"/>
            <w:vAlign w:val="center"/>
          </w:tcPr>
          <w:p w14:paraId="4A974A94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260" w:type="dxa"/>
            <w:vAlign w:val="center"/>
          </w:tcPr>
          <w:p w14:paraId="2914DF7E" w14:textId="77777777" w:rsidR="00CA74AE" w:rsidRDefault="00CA74AE" w:rsidP="006A2443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Impact</w:t>
            </w:r>
          </w:p>
        </w:tc>
      </w:tr>
      <w:tr w:rsidR="00CA74AE" w14:paraId="26417388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323A8F56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0B999842" w14:textId="0B441443" w:rsidR="00CA74AE" w:rsidRDefault="00A21E4F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Integration consistency</w:t>
            </w:r>
          </w:p>
        </w:tc>
        <w:tc>
          <w:tcPr>
            <w:tcW w:w="3827" w:type="dxa"/>
            <w:vAlign w:val="center"/>
          </w:tcPr>
          <w:p w14:paraId="1E72D06E" w14:textId="1479F811" w:rsidR="00CA74AE" w:rsidRDefault="00A21E4F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Tools are varied and potentially </w:t>
            </w:r>
            <w:proofErr w:type="spellStart"/>
            <w:r>
              <w:t>siloed</w:t>
            </w:r>
            <w:proofErr w:type="spellEnd"/>
            <w:r>
              <w:t xml:space="preserve"> across domains; missing centralized orchestration layer (e.g., no mention of workflow management like </w:t>
            </w:r>
            <w:r>
              <w:rPr>
                <w:rStyle w:val="Strong"/>
              </w:rPr>
              <w:t>Airflow</w:t>
            </w:r>
            <w:r>
              <w:t>).</w:t>
            </w:r>
          </w:p>
        </w:tc>
        <w:tc>
          <w:tcPr>
            <w:tcW w:w="3260" w:type="dxa"/>
            <w:vAlign w:val="center"/>
          </w:tcPr>
          <w:p w14:paraId="35B2C522" w14:textId="30C91B7B" w:rsidR="00CA74AE" w:rsidRDefault="00A21E4F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Could lead to fragmented data lineage and delayed updates across systems.</w:t>
            </w:r>
          </w:p>
        </w:tc>
      </w:tr>
      <w:tr w:rsidR="00CA74AE" w14:paraId="652BC5EC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37F9FB81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0C324834" w14:textId="06C496BC" w:rsidR="00CA74AE" w:rsidRDefault="003F19B9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Resource optimization and cost visibility</w:t>
            </w:r>
          </w:p>
        </w:tc>
        <w:tc>
          <w:tcPr>
            <w:tcW w:w="3827" w:type="dxa"/>
            <w:vAlign w:val="center"/>
          </w:tcPr>
          <w:p w14:paraId="0008992F" w14:textId="7CA702FC" w:rsidR="00CA74AE" w:rsidRDefault="003F19B9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No clear mention of resource monitoring or auto-scaling analytics for cost control.</w:t>
            </w:r>
          </w:p>
        </w:tc>
        <w:tc>
          <w:tcPr>
            <w:tcW w:w="3260" w:type="dxa"/>
            <w:vAlign w:val="center"/>
          </w:tcPr>
          <w:p w14:paraId="64E94C94" w14:textId="01D6F944" w:rsidR="00CA74AE" w:rsidRDefault="003F19B9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May lead to resource wastage and unpredictable costs as workloads scale.</w:t>
            </w:r>
          </w:p>
        </w:tc>
      </w:tr>
      <w:tr w:rsidR="00CA74AE" w14:paraId="5E8F0FCE" w14:textId="77777777" w:rsidTr="006A2443">
        <w:trPr>
          <w:trHeight w:val="300"/>
        </w:trPr>
        <w:tc>
          <w:tcPr>
            <w:tcW w:w="993" w:type="dxa"/>
            <w:vAlign w:val="center"/>
          </w:tcPr>
          <w:p w14:paraId="5B54D563" w14:textId="77777777" w:rsidR="00CA74AE" w:rsidRDefault="00CA74AE" w:rsidP="006A2443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748FB7E"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7" w:type="dxa"/>
            <w:vAlign w:val="center"/>
          </w:tcPr>
          <w:p w14:paraId="608B0AF5" w14:textId="60B278C2" w:rsidR="00CA74AE" w:rsidRDefault="001668FB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Unified threat response framework</w:t>
            </w:r>
          </w:p>
        </w:tc>
        <w:tc>
          <w:tcPr>
            <w:tcW w:w="3827" w:type="dxa"/>
            <w:vAlign w:val="center"/>
          </w:tcPr>
          <w:p w14:paraId="51304A98" w14:textId="16303B1C" w:rsidR="00CA74AE" w:rsidRDefault="001668FB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No consolidated view or automated incident response mechanism mentioned.</w:t>
            </w:r>
          </w:p>
        </w:tc>
        <w:tc>
          <w:tcPr>
            <w:tcW w:w="3260" w:type="dxa"/>
            <w:vAlign w:val="center"/>
          </w:tcPr>
          <w:p w14:paraId="44AA9125" w14:textId="15F59179" w:rsidR="00CA74AE" w:rsidRDefault="00001F9C" w:rsidP="006A2443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t>Slower threat detection and resolution times during security incidents.</w:t>
            </w:r>
            <w:bookmarkStart w:id="0" w:name="_GoBack"/>
            <w:bookmarkEnd w:id="0"/>
          </w:p>
        </w:tc>
      </w:tr>
    </w:tbl>
    <w:p w14:paraId="315E4A19" w14:textId="77777777" w:rsidR="00CA74AE" w:rsidRPr="00F977C2" w:rsidRDefault="00CA74AE" w:rsidP="00CA74AE"/>
    <w:p w14:paraId="4AF48645" w14:textId="77777777" w:rsidR="00CA74AE" w:rsidRPr="00CA74AE" w:rsidRDefault="00CA74AE" w:rsidP="00CA74AE"/>
    <w:sectPr w:rsidR="00CA74AE" w:rsidRPr="00CA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936"/>
    <w:multiLevelType w:val="hybridMultilevel"/>
    <w:tmpl w:val="18E8C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06"/>
    <w:multiLevelType w:val="hybridMultilevel"/>
    <w:tmpl w:val="BAB0766C"/>
    <w:lvl w:ilvl="0" w:tplc="75DE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6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A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8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8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0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6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5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1DBE2"/>
    <w:multiLevelType w:val="hybridMultilevel"/>
    <w:tmpl w:val="17E29064"/>
    <w:lvl w:ilvl="0" w:tplc="C936C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2E0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0A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87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C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708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A2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7A5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FB189"/>
    <w:rsid w:val="00001F9C"/>
    <w:rsid w:val="000E23CD"/>
    <w:rsid w:val="001668FB"/>
    <w:rsid w:val="001E78A1"/>
    <w:rsid w:val="00317F41"/>
    <w:rsid w:val="003F19B9"/>
    <w:rsid w:val="00496A38"/>
    <w:rsid w:val="00607469"/>
    <w:rsid w:val="00693B18"/>
    <w:rsid w:val="007E4D19"/>
    <w:rsid w:val="009B6FE3"/>
    <w:rsid w:val="009D4770"/>
    <w:rsid w:val="00A21E4F"/>
    <w:rsid w:val="00C533DB"/>
    <w:rsid w:val="00CA74AE"/>
    <w:rsid w:val="00CF360F"/>
    <w:rsid w:val="00D026B6"/>
    <w:rsid w:val="00D11724"/>
    <w:rsid w:val="00D52B6F"/>
    <w:rsid w:val="00DC183C"/>
    <w:rsid w:val="00DD335E"/>
    <w:rsid w:val="00E36E23"/>
    <w:rsid w:val="00E456C0"/>
    <w:rsid w:val="00E96F64"/>
    <w:rsid w:val="00EF0013"/>
    <w:rsid w:val="00F92FE0"/>
    <w:rsid w:val="00FB14BC"/>
    <w:rsid w:val="00FC4218"/>
    <w:rsid w:val="02C9A14B"/>
    <w:rsid w:val="0748FB7E"/>
    <w:rsid w:val="1BAFB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FB189"/>
  <w15:chartTrackingRefBased/>
  <w15:docId w15:val="{80D4C284-4AD5-427A-BD86-E976335B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B14B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E2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Sannareddy</dc:creator>
  <cp:keywords/>
  <dc:description/>
  <cp:lastModifiedBy>Dennis</cp:lastModifiedBy>
  <cp:revision>26</cp:revision>
  <dcterms:created xsi:type="dcterms:W3CDTF">2025-03-23T14:42:00Z</dcterms:created>
  <dcterms:modified xsi:type="dcterms:W3CDTF">2025-04-23T04:47:00Z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528826c4d43698557d744275db8663504b7700cfbdfd6a0e0c150039a9a808f7</vt:lpwstr>
  </property>
</Properties>
</file>