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rPr>
          <w:rFonts w:ascii="Arial" w:cs="Arial" w:eastAsia="Arial" w:hAnsi="Arial"/>
          <w:sz w:val="20"/>
          <w:szCs w:val="20"/>
        </w:rPr>
        <w:t xml:space="preserve"/>
      </w:r>
    </w:p>
    <w:p>
      <w:pPr>
        <w:shd w:fill="1F3864" w:val="clear"/>
        <w:spacing w:before="200" w:after="0"/>
        <w:ind w:left="0"/>
        <w:jc w:val="center"/>
      </w:pPr>
      <w:r>
        <w:rPr>
          <w:rFonts w:ascii="Arial" w:cs="Arial" w:eastAsia="Arial" w:hAnsi="Arial"/>
          <w:b/>
          <w:bCs/>
          <w:color w:val="FFFFFF"/>
          <w:sz w:val="52"/>
          <w:szCs w:val="52"/>
        </w:rPr>
        <w:t xml:space="preserve">INCIDENT REPORT</w:t>
      </w:r>
    </w:p>
    <w:p>
      <w:pPr>
        <w:shd w:fill="1F3864" w:val="clear"/>
        <w:spacing w:before="0" w:after="0"/>
        <w:jc w:val="center"/>
      </w:pPr>
      <w:r>
        <w:rPr>
          <w:rFonts w:ascii="Arial" w:cs="Arial" w:eastAsia="Arial" w:hAnsi="Arial"/>
          <w:color w:val="FFFFFF"/>
          <w:sz w:val="28"/>
          <w:szCs w:val="28"/>
        </w:rPr>
        <w:t xml:space="preserve">101 Health — IoT Medical Device Platform</w:t>
      </w:r>
    </w:p>
    <w:p>
      <w:pPr>
        <w:shd w:fill="1F3864" w:val="clear"/>
        <w:spacing w:before="0" w:after="200"/>
        <w:jc w:val="center"/>
      </w:pPr>
      <w:r>
        <w:rPr>
          <w:rFonts w:ascii="Arial" w:cs="Arial" w:eastAsia="Arial" w:hAnsi="Arial"/>
          <w:i/>
          <w:iCs/>
          <w:color w:val="D6E4F0"/>
          <w:sz w:val="24"/>
          <w:szCs w:val="24"/>
        </w:rPr>
        <w:t xml:space="preserve">Cloud Infrastructure Compromise &amp; Data Exfiltration</w:t>
      </w:r>
    </w:p>
    <w:p>
      <w:pPr>
        <w:spacing w:after="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Prepared by</w:t>
            </w:r>
          </w:p>
        </w:tc>
        <w:tc>
          <w:tcPr>
            <w:tcW w:type="dxa" w:w="252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Date</w:t>
            </w:r>
          </w:p>
        </w:tc>
        <w:tc>
          <w:tcPr>
            <w:tcW w:type="dxa" w:w="252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Classification</w:t>
            </w:r>
          </w:p>
        </w:tc>
        <w:tc>
          <w:tcPr>
            <w:tcW w:type="dxa" w:w="252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Severity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Security Consultant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March 6, 2026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C0392B"/>
                <w:sz w:val="18"/>
                <w:szCs w:val="18"/>
              </w:rPr>
              <w:t xml:space="preserve">CONFIDENTIAL</w:t>
            </w:r>
          </w:p>
        </w:tc>
        <w:tc>
          <w:tcPr>
            <w:tcW w:type="dxa" w:w="25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CRITICAL</w:t>
            </w:r>
          </w:p>
        </w:tc>
      </w:tr>
      <w:tr>
        <w:tc>
          <w:tcPr>
            <w:tcW w:type="dxa" w:w="252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Incident ID</w:t>
            </w:r>
          </w:p>
        </w:tc>
        <w:tc>
          <w:tcPr>
            <w:tcW w:type="dxa" w:w="252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Affected Systems</w:t>
            </w:r>
          </w:p>
        </w:tc>
        <w:tc>
          <w:tcPr>
            <w:tcW w:type="dxa" w:w="252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Duration</w:t>
            </w:r>
          </w:p>
        </w:tc>
        <w:tc>
          <w:tcPr>
            <w:tcW w:type="dxa" w:w="252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Status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IR-2026-0301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Cloud API, Patient DB, IoT Mgmt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~8 hours 53 min</w:t>
            </w:r>
          </w:p>
        </w:tc>
        <w:tc>
          <w:tcPr>
            <w:tcW w:type="dxa" w:w="252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Contained</w:t>
            </w:r>
          </w:p>
        </w:tc>
      </w:tr>
    </w:tbl>
    <w:p>
      <w:pPr>
        <w:spacing w:after="60"/>
      </w:pPr>
      <w:r>
        <w:rPr>
          <w:rFonts w:ascii="Arial" w:cs="Arial" w:eastAsia="Arial" w:hAnsi="Arial"/>
          <w:sz w:val="20"/>
          <w:szCs w:val="20"/>
        </w:rPr>
        <w:t xml:space="preserve"/>
      </w:r>
    </w:p>
    <w:p>
      <w:r>
        <w:br w:type="page"/>
      </w:r>
    </w:p>
    <w:p>
      <w:pPr>
        <w:pBdr>
          <w:bottom w:val="single" w:color="2E5FA3" w:sz="4"/>
        </w:pBdr>
        <w:shd w:fill="1F3864" w:val="clear"/>
        <w:spacing w:before="280" w:after="140"/>
        <w:ind w:left="120"/>
      </w:pPr>
      <w:r>
        <w:rPr>
          <w:rFonts w:ascii="Arial" w:cs="Arial" w:eastAsia="Arial" w:hAnsi="Arial"/>
          <w:b/>
          <w:bCs/>
          <w:color w:val="FFFFFF"/>
          <w:sz w:val="26"/>
          <w:szCs w:val="26"/>
        </w:rPr>
        <w:t xml:space="preserve">1.  Executive Summary</w:t>
      </w:r>
    </w:p>
    <w:p>
      <w:pPr>
        <w:spacing w:after="60"/>
      </w:pPr>
      <w:r>
        <w:rPr>
          <w:rFonts w:ascii="Arial" w:cs="Arial" w:eastAsia="Arial" w:hAnsi="Arial"/>
          <w:sz w:val="20"/>
          <w:szCs w:val="20"/>
        </w:rPr>
        <w:t xml:space="preserve"/>
      </w:r>
    </w:p>
    <w:p>
      <w:pPr>
        <w:spacing w:after="80"/>
      </w:pPr>
      <w:r>
        <w:rPr>
          <w:rFonts w:ascii="Arial" w:cs="Arial" w:eastAsia="Arial" w:hAnsi="Arial"/>
          <w:sz w:val="20"/>
          <w:szCs w:val="20"/>
        </w:rPr>
        <w:t xml:space="preserve">On March 6, 2026, 101 Health suffered a targeted cyberattack that began with a </w:t>
      </w:r>
      <w:r>
        <w:rPr>
          <w:rFonts w:ascii="Arial" w:cs="Arial" w:eastAsia="Arial" w:hAnsi="Arial"/>
          <w:b/>
          <w:bCs/>
          <w:sz w:val="20"/>
          <w:szCs w:val="20"/>
        </w:rPr>
        <w:t xml:space="preserve">spear-phishing email</w:t>
      </w:r>
      <w:r>
        <w:rPr>
          <w:rFonts w:ascii="Arial" w:cs="Arial" w:eastAsia="Arial" w:hAnsi="Arial"/>
          <w:sz w:val="20"/>
          <w:szCs w:val="20"/>
        </w:rPr>
        <w:t xml:space="preserve"> delivered to a cloud-platform administrator. The attacker exploited the resulting foothold to move laterally across the company's AWS environment, ultimately reaching the </w:t>
      </w:r>
      <w:r>
        <w:rPr>
          <w:rFonts w:ascii="Arial" w:cs="Arial" w:eastAsia="Arial" w:hAnsi="Arial"/>
          <w:b/>
          <w:bCs/>
          <w:sz w:val="20"/>
          <w:szCs w:val="20"/>
        </w:rPr>
        <w:t xml:space="preserve">Patient Data Database (patient-db-prod)</w:t>
      </w:r>
      <w:r>
        <w:rPr>
          <w:rFonts w:ascii="Arial" w:cs="Arial" w:eastAsia="Arial" w:hAnsi="Arial"/>
          <w:sz w:val="20"/>
          <w:szCs w:val="20"/>
        </w:rPr>
        <w:t xml:space="preserve"> and the </w:t>
      </w:r>
      <w:r>
        <w:rPr>
          <w:rFonts w:ascii="Arial" w:cs="Arial" w:eastAsia="Arial" w:hAnsi="Arial"/>
          <w:b/>
          <w:bCs/>
          <w:sz w:val="20"/>
          <w:szCs w:val="20"/>
        </w:rPr>
        <w:t xml:space="preserve">IoT Device Management API (iot-mgmt-api)</w:t>
      </w:r>
      <w:r>
        <w:rPr>
          <w:rFonts w:ascii="Arial" w:cs="Arial" w:eastAsia="Arial" w:hAnsi="Arial"/>
          <w:sz w:val="20"/>
          <w:szCs w:val="20"/>
        </w:rPr>
        <w:t xml:space="preserve">. Approximately </w:t>
      </w:r>
      <w:r>
        <w:rPr>
          <w:rFonts w:ascii="Arial" w:cs="Arial" w:eastAsia="Arial" w:hAnsi="Arial"/>
          <w:b/>
          <w:bCs/>
          <w:sz w:val="20"/>
          <w:szCs w:val="20"/>
        </w:rPr>
        <w:t xml:space="preserve">4,200 patient health records</w:t>
      </w:r>
      <w:r>
        <w:rPr>
          <w:rFonts w:ascii="Arial" w:cs="Arial" w:eastAsia="Arial" w:hAnsi="Arial"/>
          <w:sz w:val="20"/>
          <w:szCs w:val="20"/>
        </w:rPr>
        <w:t xml:space="preserve"> were exfiltrated via an encrypted Command-and-Control (C2) channel before automated network anomaly detection triggered a defensive response at 18:16 UTC.</w:t>
      </w:r>
    </w:p>
    <w:p>
      <w:pPr>
        <w:spacing w:after="60"/>
      </w:pPr>
      <w:r>
        <w:rPr>
          <w:rFonts w:ascii="Arial" w:cs="Arial" w:eastAsia="Arial" w:hAnsi="Arial"/>
          <w:sz w:val="20"/>
          <w:szCs w:val="20"/>
        </w:rPr>
        <w:t xml:space="preserve"/>
      </w:r>
    </w:p>
    <w:p>
      <w:pPr>
        <w:spacing w:after="80"/>
      </w:pPr>
      <w:r>
        <w:rPr>
          <w:rFonts w:ascii="Arial" w:cs="Arial" w:eastAsia="Arial" w:hAnsi="Arial"/>
          <w:sz w:val="20"/>
          <w:szCs w:val="20"/>
        </w:rPr>
        <w:t xml:space="preserve">The attacker achieved Initial Access, Execution, Persistence, Credential Access, Lateral Movement, and Collection before containment. A rogue administrator account was discovered and disabled; the compromised workstation was isolated; and the malicious C2 domain was blocked at the perimeter firewall within 37 minutes of alert triage.</w:t>
      </w:r>
    </w:p>
    <w:p>
      <w:pPr>
        <w:spacing w:after="60"/>
      </w:pPr>
      <w:r>
        <w:rPr>
          <w:rFonts w:ascii="Arial" w:cs="Arial" w:eastAsia="Arial" w:hAnsi="Arial"/>
          <w:sz w:val="20"/>
          <w:szCs w:val="20"/>
        </w:rPr>
        <w:t xml:space="preserve"/>
      </w:r>
    </w:p>
    <w:p>
      <w:pPr>
        <w:spacing w:after="80"/>
      </w:pPr>
      <w:r>
        <w:rPr>
          <w:rFonts w:ascii="Arial" w:cs="Arial" w:eastAsia="Arial" w:hAnsi="Arial"/>
          <w:sz w:val="20"/>
          <w:szCs w:val="20"/>
        </w:rPr>
        <w:t xml:space="preserve">The incident carries </w:t>
      </w:r>
      <w:r>
        <w:rPr>
          <w:rFonts w:ascii="Arial" w:cs="Arial" w:eastAsia="Arial" w:hAnsi="Arial"/>
          <w:b/>
          <w:bCs/>
          <w:color w:val="C0392B"/>
          <w:sz w:val="20"/>
          <w:szCs w:val="20"/>
        </w:rPr>
        <w:t xml:space="preserve">Critical severity</w:t>
      </w:r>
      <w:r>
        <w:rPr>
          <w:rFonts w:ascii="Arial" w:cs="Arial" w:eastAsia="Arial" w:hAnsi="Arial"/>
          <w:sz w:val="20"/>
          <w:szCs w:val="20"/>
        </w:rPr>
        <w:t xml:space="preserve"> due to the exposure of Protected Health Information (PHI), potential HIPAA regulatory obligations, and the risk of IoT firmware tampering that could affect patient safety. Immediate remediation actions are underway, and a full forensic review is in progress.</w:t>
      </w:r>
    </w:p>
    <w:p>
      <w:pPr>
        <w:spacing w:after="60"/>
      </w:pPr>
      <w:r>
        <w:rPr>
          <w:rFonts w:ascii="Arial" w:cs="Arial" w:eastAsia="Arial" w:hAnsi="Arial"/>
          <w:sz w:val="20"/>
          <w:szCs w:val="20"/>
        </w:rPr>
        <w:t xml:space="preserve"/>
      </w:r>
    </w:p>
    <w:p>
      <w:r>
        <w:br w:type="page"/>
      </w:r>
    </w:p>
    <w:p>
      <w:pPr>
        <w:pBdr>
          <w:bottom w:val="single" w:color="2E5FA3" w:sz="4"/>
        </w:pBdr>
        <w:shd w:fill="1F3864" w:val="clear"/>
        <w:spacing w:before="280" w:after="140"/>
        <w:ind w:left="120"/>
      </w:pPr>
      <w:r>
        <w:rPr>
          <w:rFonts w:ascii="Arial" w:cs="Arial" w:eastAsia="Arial" w:hAnsi="Arial"/>
          <w:b/>
          <w:bCs/>
          <w:color w:val="FFFFFF"/>
          <w:sz w:val="26"/>
          <w:szCs w:val="26"/>
        </w:rPr>
        <w:t xml:space="preserve">2.  Timeline of Events</w:t>
      </w:r>
    </w:p>
    <w:p>
      <w:pPr>
        <w:spacing w:after="60"/>
      </w:pPr>
      <w:r>
        <w:rPr>
          <w:rFonts w:ascii="Arial" w:cs="Arial" w:eastAsia="Arial" w:hAnsi="Arial"/>
          <w:sz w:val="20"/>
          <w:szCs w:val="20"/>
        </w:rPr>
        <w:t xml:space="preserve"/>
      </w:r>
    </w:p>
    <w:p>
      <w:pPr>
        <w:spacing w:after="80"/>
      </w:pPr>
      <w:r>
        <w:rPr>
          <w:rFonts w:ascii="Arial" w:cs="Arial" w:eastAsia="Arial" w:hAnsi="Arial"/>
          <w:sz w:val="20"/>
          <w:szCs w:val="20"/>
        </w:rPr>
        <w:t xml:space="preserve">The following table documents key events in chronological order (all times UTC).</w:t>
      </w:r>
    </w:p>
    <w:p>
      <w:pPr>
        <w:spacing w:after="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900"/>
        <w:gridCol w:w="1200"/>
        <w:gridCol w:w="3480"/>
      </w:tblGrid>
      <w:tr>
        <w:tc>
          <w:tcPr>
            <w:tcW w:type="dxa" w:w="13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Timestamp (UTC)</w:t>
            </w:r>
          </w:p>
        </w:tc>
        <w:tc>
          <w:tcPr>
            <w:tcW w:type="dxa" w:w="2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Event Description</w:t>
            </w:r>
          </w:p>
        </w:tc>
        <w:tc>
          <w:tcPr>
            <w:tcW w:type="dxa" w:w="19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Tools / Techniques</w:t>
            </w:r>
          </w:p>
        </w:tc>
        <w:tc>
          <w:tcPr>
            <w:tcW w:type="dxa" w:w="1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Actor</w:t>
            </w:r>
          </w:p>
        </w:tc>
        <w:tc>
          <w:tcPr>
            <w:tcW w:type="dxa" w:w="34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Observations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2026-03-06
09:23:14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Spear-phishing email delivered to cloud administrator (admin@101health.io) with malicious Excel attachment (Invoice_Q1.xlsm).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Social engineering; macro-enabled Office document</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spacing w:after="0"/>
            </w:pPr>
            <w:r>
              <w:rPr>
                <w:rFonts w:ascii="Arial" w:cs="Arial" w:eastAsia="Arial" w:hAnsi="Arial"/>
                <w:b/>
                <w:bCs/>
                <w:color w:val="C0392B"/>
                <w:sz w:val="18"/>
                <w:szCs w:val="18"/>
              </w:rPr>
              <w:t xml:space="preserve">Attacker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Email spoofed a known vendor; passed SPF but failed DMARC (not enforced). Macro downloaded a PowerShell stager on open.</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2026-03-06
09:47:52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Victim opened attachment; PowerShell stager executed, establishing reverse shell to C2 server at 185.220.101.47:443.</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PowerShell; HTTPS reverse shell (Cobalt Strike Beacon)</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spacing w:after="0"/>
            </w:pPr>
            <w:r>
              <w:rPr>
                <w:rFonts w:ascii="Arial" w:cs="Arial" w:eastAsia="Arial" w:hAnsi="Arial"/>
                <w:b/>
                <w:bCs/>
                <w:color w:val="C0392B"/>
                <w:sz w:val="18"/>
                <w:szCs w:val="18"/>
              </w:rPr>
              <w:t xml:space="preserve">Attacker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EDR alert generated (low confidence). Process tree showed EXCEL.EXE spawning powershell.exe with encoded -EncodedCommand argument.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2026-03-06
11:15:30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Attacker dumped LSASS memory on compromised workstation to harvest administrator credentials; created rogue AWS IAM user svc_backup_admin.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Mimikatz (lsadump::sam); AWS CLI</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spacing w:after="0"/>
            </w:pPr>
            <w:r>
              <w:rPr>
                <w:rFonts w:ascii="Arial" w:cs="Arial" w:eastAsia="Arial" w:hAnsi="Arial"/>
                <w:b/>
                <w:bCs/>
                <w:color w:val="C0392B"/>
                <w:sz w:val="18"/>
                <w:szCs w:val="18"/>
              </w:rPr>
              <w:t xml:space="preserve">Attacker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AWS CloudTrail log: CreateUser event at 11:17 UTC from compromised IP. IAM user granted AdministratorAccess policy immediately after creation.</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2026-03-06
13:30:00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Data exfiltration began: attacker queried patient-db-prod RDS instance and streamed 4,200 records to C2 via encrypted HTTPS POST requests.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AWS CLI; custom Python exfil script; encrypted C2 tunnel</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spacing w:after="0"/>
            </w:pPr>
            <w:r>
              <w:rPr>
                <w:rFonts w:ascii="Arial" w:cs="Arial" w:eastAsia="Arial" w:hAnsi="Arial"/>
                <w:b/>
                <w:bCs/>
                <w:color w:val="C0392B"/>
                <w:sz w:val="18"/>
                <w:szCs w:val="18"/>
              </w:rPr>
              <w:t xml:space="preserve">Attacker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Unusual spike in outbound data (3.2 GB over 90 min). Queries targeted PHI tables: patients, diagnoses, prescriptions.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2026-03-06
14:55:10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Attacker attempted to push unauthorized firmware update to IoT device fleet via iot-mgmt-api; request rejected due to missing device signing key.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AWS API Gateway; custom IoT firmware payload</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spacing w:after="0"/>
            </w:pPr>
            <w:r>
              <w:rPr>
                <w:rFonts w:ascii="Arial" w:cs="Arial" w:eastAsia="Arial" w:hAnsi="Arial"/>
                <w:b/>
                <w:bCs/>
                <w:color w:val="C0392B"/>
                <w:sz w:val="18"/>
                <w:szCs w:val="18"/>
              </w:rPr>
              <w:t xml:space="preserve">Attacker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403 Forbidden errors logged in API Gateway. Firmware signing validation blocked deployment — a key existing control that limited impact to connected devices.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2026-03-06
18:16:07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SIEM (AWS GuardDuty + Splunk) triggered high-confidence alert: UnauthorizedAccess:IAMUser/AnomalousBehavior and exfiltration pattern detected.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AWS GuardDuty; Splunk SIEM; custom correlation rule</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vAlign w:val="top"/>
          </w:tcPr>
          <w:p>
            <w:pPr>
              <w:spacing w:after="0"/>
            </w:pPr>
            <w:r>
              <w:rPr>
                <w:rFonts w:ascii="Arial" w:cs="Arial" w:eastAsia="Arial" w:hAnsi="Arial"/>
                <w:b/>
                <w:bCs/>
                <w:color w:val="27AE60"/>
                <w:sz w:val="18"/>
                <w:szCs w:val="18"/>
              </w:rPr>
              <w:t xml:space="preserve">Defender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Alert routed to on-call SOC analyst. Correlated with the earlier EDR low-confidence alert to elevate incident priority to P1.</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2026-03-06
18:53:41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Incident response team isolated compromised workstation, disabled rogue IAM user, revoked active sessions, and blocked C2 domain/IP at perimeter firewall.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AWS IAM console; CrowdStrike Falcon (network containment); Palo Alto NGFW</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vAlign w:val="top"/>
          </w:tcPr>
          <w:p>
            <w:pPr>
              <w:spacing w:after="0"/>
            </w:pPr>
            <w:r>
              <w:rPr>
                <w:rFonts w:ascii="Arial" w:cs="Arial" w:eastAsia="Arial" w:hAnsi="Arial"/>
                <w:b/>
                <w:bCs/>
                <w:color w:val="27AE60"/>
                <w:sz w:val="18"/>
                <w:szCs w:val="18"/>
              </w:rPr>
              <w:t xml:space="preserve">Defender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Containment confirmed by absence of further CloudTrail activity from rogue IAM user. Workstation quarantined for forensic imaging.</w:t>
            </w:r>
          </w:p>
        </w:tc>
      </w:tr>
    </w:tbl>
    <w:p>
      <w:pPr>
        <w:spacing w:after="60"/>
      </w:pPr>
      <w:r>
        <w:rPr>
          <w:rFonts w:ascii="Arial" w:cs="Arial" w:eastAsia="Arial" w:hAnsi="Arial"/>
          <w:sz w:val="20"/>
          <w:szCs w:val="20"/>
        </w:rPr>
        <w:t xml:space="preserve"/>
      </w:r>
    </w:p>
    <w:p>
      <w:r>
        <w:br w:type="page"/>
      </w:r>
    </w:p>
    <w:p>
      <w:pPr>
        <w:pBdr>
          <w:bottom w:val="single" w:color="2E5FA3" w:sz="4"/>
        </w:pBdr>
        <w:shd w:fill="1F3864" w:val="clear"/>
        <w:spacing w:before="280" w:after="140"/>
        <w:ind w:left="120"/>
      </w:pPr>
      <w:r>
        <w:rPr>
          <w:rFonts w:ascii="Arial" w:cs="Arial" w:eastAsia="Arial" w:hAnsi="Arial"/>
          <w:b/>
          <w:bCs/>
          <w:color w:val="FFFFFF"/>
          <w:sz w:val="26"/>
          <w:szCs w:val="26"/>
        </w:rPr>
        <w:t xml:space="preserve">3.  Attack Narrative — MITRE ATT&amp;CK Mapping</w:t>
      </w:r>
    </w:p>
    <w:p>
      <w:pPr>
        <w:spacing w:after="60"/>
      </w:pPr>
      <w:r>
        <w:rPr>
          <w:rFonts w:ascii="Arial" w:cs="Arial" w:eastAsia="Arial" w:hAnsi="Arial"/>
          <w:sz w:val="20"/>
          <w:szCs w:val="20"/>
        </w:rPr>
        <w:t xml:space="preserve"/>
      </w:r>
    </w:p>
    <w:p>
      <w:pPr>
        <w:spacing w:after="80"/>
      </w:pPr>
      <w:r>
        <w:rPr>
          <w:rFonts w:ascii="Arial" w:cs="Arial" w:eastAsia="Arial" w:hAnsi="Arial"/>
          <w:sz w:val="20"/>
          <w:szCs w:val="20"/>
        </w:rPr>
        <w:t xml:space="preserve">The following table maps each observed attacker action to the corresponding MITRE ATT&amp;CK Enterprise technique (v14).</w:t>
      </w:r>
    </w:p>
    <w:p>
      <w:pPr>
        <w:spacing w:after="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3300"/>
        <w:gridCol w:w="3680"/>
      </w:tblGrid>
      <w:tr>
        <w:tc>
          <w:tcPr>
            <w:tcW w:type="dxa" w:w="17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Attack Phase</w:t>
            </w:r>
          </w:p>
        </w:tc>
        <w:tc>
          <w:tcPr>
            <w:tcW w:type="dxa" w:w="1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Technique ID</w:t>
            </w:r>
          </w:p>
        </w:tc>
        <w:tc>
          <w:tcPr>
            <w:tcW w:type="dxa" w:w="33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Description</w:t>
            </w:r>
          </w:p>
        </w:tc>
        <w:tc>
          <w:tcPr>
            <w:tcW w:type="dxa" w:w="36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Tools / Artifacts Observed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Initial Access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2E5FA3"/>
                <w:sz w:val="18"/>
                <w:szCs w:val="18"/>
              </w:rPr>
              <w:t xml:space="preserve">T1566.001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Spear-Phishing Attachment — attacker crafted a macro-enabled Excel document (Invoice_Q1.xlsm) masquerading as a vendor invoice and sent it to the cloud administrator's corporate email address. The macro executed on file open, bypassing Mark-of-the-Web checks because the file was received via an internal forwarding rule.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Malicious XLSM; VBA macro dropper; spoofed sender domain (101health-vendor[.]com)</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Execution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2E5FA3"/>
                <w:sz w:val="18"/>
                <w:szCs w:val="18"/>
              </w:rPr>
              <w:t xml:space="preserve">T1059.001</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PowerShell Command and Script Interpreter — the macro invoked powershell.exe with a Base64-encoded command that downloaded and executed a Cobalt Strike Beacon stager from the C2 server. The stager ran entirely in-memory (reflective DLL injection), avoiding on-disk detection by signature-based AV.</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PowerShell (encoded command); Cobalt Strike Beacon (in-memory); HTTPS C2 to 185.220.101.47</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Credential Access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2E5FA3"/>
                <w:sz w:val="18"/>
                <w:szCs w:val="18"/>
              </w:rPr>
              <w:t xml:space="preserve">T1003.001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LSASS Memory Dump — the attacker used Mimikatz (lsadump::sam and sekurlsa::logonpasswords modules) to extract NTLM hashes and cleartext credentials from LSASS memory on the compromised administrator workstation. The harvested credentials included the AWS CLI access key stored in the user profile and the local administrator password.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Mimikatz v2.2; lsadump::sam; sekurlsa::logonpasswords; AWS CLI credential file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Persistence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2E5FA3"/>
                <w:sz w:val="18"/>
                <w:szCs w:val="18"/>
              </w:rPr>
              <w:t xml:space="preserve">T1136.003</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Cloud Account Creation — using the harvested AWS credentials, the attacker created a new IAM user (svc_backup_admin) and immediately attached the AdministratorAccess managed policy. This provided a persistent, privileged backdoor in the AWS environment independent of the compromised workstation and resilient to password resets on the original account.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AWS CLI (aws iam create-user / attach-user-policy); rogue IAM user: svc_backup_admin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Lateral Movement / Collection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2E5FA3"/>
                <w:sz w:val="18"/>
                <w:szCs w:val="18"/>
              </w:rPr>
              <w:t xml:space="preserve">T1530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Data from Cloud Storage Object — leveraging the rogue IAM user's AdministratorAccess permissions, the attacker enumerated and accessed the patient-db-prod Amazon RDS PostgreSQL instance directly via the AWS CLI and psql. A custom Python script extracted 4,200 PHI records (names, dates of birth, diagnoses, prescriptions) and streamed them as HTTPS POST requests to the C2.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AWS CLI; psql; custom Python exfil script; encrypted HTTPS POST; C2 domain: update-health-cloud[.]com</w:t>
            </w:r>
          </w:p>
        </w:tc>
      </w:tr>
    </w:tbl>
    <w:p>
      <w:pPr>
        <w:spacing w:after="60"/>
      </w:pPr>
      <w:r>
        <w:rPr>
          <w:rFonts w:ascii="Arial" w:cs="Arial" w:eastAsia="Arial" w:hAnsi="Arial"/>
          <w:sz w:val="20"/>
          <w:szCs w:val="20"/>
        </w:rPr>
        <w:t xml:space="preserve"/>
      </w:r>
    </w:p>
    <w:p>
      <w:r>
        <w:br w:type="page"/>
      </w:r>
    </w:p>
    <w:p>
      <w:pPr>
        <w:pBdr>
          <w:bottom w:val="single" w:color="2E5FA3" w:sz="4"/>
        </w:pBdr>
        <w:shd w:fill="1F3864" w:val="clear"/>
        <w:spacing w:before="280" w:after="140"/>
        <w:ind w:left="120"/>
      </w:pPr>
      <w:r>
        <w:rPr>
          <w:rFonts w:ascii="Arial" w:cs="Arial" w:eastAsia="Arial" w:hAnsi="Arial"/>
          <w:b/>
          <w:bCs/>
          <w:color w:val="FFFFFF"/>
          <w:sz w:val="26"/>
          <w:szCs w:val="26"/>
        </w:rPr>
        <w:t xml:space="preserve">4.  Indicators of Compromise (IOCs)</w:t>
      </w:r>
    </w:p>
    <w:p>
      <w:pPr>
        <w:spacing w:after="60"/>
      </w:pPr>
      <w:r>
        <w:rPr>
          <w:rFonts w:ascii="Arial" w:cs="Arial" w:eastAsia="Arial" w:hAnsi="Arial"/>
          <w:sz w:val="20"/>
          <w:szCs w:val="20"/>
        </w:rPr>
        <w:t xml:space="preserve"/>
      </w:r>
    </w:p>
    <w:p>
      <w:pPr>
        <w:spacing w:after="80"/>
      </w:pPr>
      <w:r>
        <w:rPr>
          <w:rFonts w:ascii="Arial" w:cs="Arial" w:eastAsia="Arial" w:hAnsi="Arial"/>
          <w:sz w:val="20"/>
          <w:szCs w:val="20"/>
        </w:rPr>
        <w:t xml:space="preserve">The following IOCs were identified during investigation and have been submitted to the threat intelligence platform (MISP) for sharing with sector partners.</w:t>
      </w:r>
    </w:p>
    <w:p>
      <w:pPr>
        <w:spacing w:after="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600"/>
        <w:gridCol w:w="1900"/>
        <w:gridCol w:w="3180"/>
      </w:tblGrid>
      <w:tr>
        <w:tc>
          <w:tcPr>
            <w:tcW w:type="dxa" w:w="1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IOC Type</w:t>
            </w:r>
          </w:p>
        </w:tc>
        <w:tc>
          <w:tcPr>
            <w:tcW w:type="dxa" w:w="2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IOC Details</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Classification</w:t>
            </w:r>
          </w:p>
        </w:tc>
        <w:tc>
          <w:tcPr>
            <w:tcW w:type="dxa" w:w="19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Detection Method</w:t>
            </w:r>
          </w:p>
        </w:tc>
        <w:tc>
          <w:tcPr>
            <w:tcW w:type="dxa" w:w="31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IP Address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185.220.101.47 (TCP/443)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C0392B"/>
                <w:sz w:val="18"/>
                <w:szCs w:val="18"/>
              </w:rPr>
              <w:t xml:space="preserve">C2 / Malicious Infrastructure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AWS VPC Flow Logs; Firewall egress analysis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Tor-exit node leased by threat actor. Used for Cobalt Strike C2 communication over HTTPS to evade inspection. Blocked at perimeter. Observed in 47 outbound connections over 8h 53min window.</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Domain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update-health-cloud[.]com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C0392B"/>
                <w:sz w:val="18"/>
                <w:szCs w:val="18"/>
              </w:rPr>
              <w:t xml:space="preserve">Phishing / C2 Domain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DNS query logs (AWS Route 53 Resolver); Threat intel (VirusTotal: 18/88 detections)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Registered 11 days before the attack (March 2026). Mimicked 101 Health's legitimate cloud update service. Used for both phishing link delivery and data exfiltration endpoint. DMARC not configured.</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File Hash (SHA-256)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a3f9c8e12b7d4561f0e2a9cd6b8a1234
5e6f7890abcd1234ef567890abcdef12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C0392B"/>
                <w:sz w:val="18"/>
                <w:szCs w:val="18"/>
              </w:rPr>
              <w:t xml:space="preserve">Malware Dropper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EDR telemetry (CrowdStrike Falcon); VirusTotal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Hash of Invoice_Q1.xlsm. Macro-enabled Excel file used as the initial phishing payload. Detected as Trojan.MacroShell by 31/60 AV engines on VirusTotal. File was flagged by EDR but alert was low-priority and not triaged promptly.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IAM User (Cloud)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AWS IAM: svc_backup_admin
ARN: arn:aws:iam::XXXX:user/svc_backup_admin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C0392B"/>
                <w:sz w:val="18"/>
                <w:szCs w:val="18"/>
              </w:rPr>
              <w:t xml:space="preserve">Persistence Mechanism</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AWS CloudTrail CreateUser event; IAM access advisor anomaly</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Rogue IAM user created at 11:17 UTC with AdministratorAccess policy. No MFA enrolled. Used to maintain persistent privileged access after the compromised workstation was cleaned. Account disabled and all sessions revoked at 18:53 UTC.</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Process / Command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powershell.exe -enc [Base64 string] spawned by EXCEL.EXE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C0392B"/>
                <w:sz w:val="18"/>
                <w:szCs w:val="18"/>
              </w:rPr>
              <w:t xml:space="preserve">Suspicious Activity / LOLBin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EDR process tree; Windows Event ID 4688</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Living-off-the-land technique using built-in PowerShell to download and execute in-memory payload. The -EncodedCommand flag was used to obfuscate the download cradle. Parent process EXCEL.EXE is a strong indicator of macro-based execution.</w:t>
            </w:r>
          </w:p>
        </w:tc>
      </w:tr>
    </w:tbl>
    <w:p>
      <w:pPr>
        <w:spacing w:after="60"/>
      </w:pPr>
      <w:r>
        <w:rPr>
          <w:rFonts w:ascii="Arial" w:cs="Arial" w:eastAsia="Arial" w:hAnsi="Arial"/>
          <w:sz w:val="20"/>
          <w:szCs w:val="20"/>
        </w:rPr>
        <w:t xml:space="preserve"/>
      </w:r>
    </w:p>
    <w:p>
      <w:r>
        <w:br w:type="page"/>
      </w:r>
    </w:p>
    <w:p>
      <w:pPr>
        <w:pBdr>
          <w:bottom w:val="single" w:color="2E5FA3" w:sz="4"/>
        </w:pBdr>
        <w:shd w:fill="1F3864" w:val="clear"/>
        <w:spacing w:before="280" w:after="140"/>
        <w:ind w:left="120"/>
      </w:pPr>
      <w:r>
        <w:rPr>
          <w:rFonts w:ascii="Arial" w:cs="Arial" w:eastAsia="Arial" w:hAnsi="Arial"/>
          <w:b/>
          <w:bCs/>
          <w:color w:val="FFFFFF"/>
          <w:sz w:val="26"/>
          <w:szCs w:val="26"/>
        </w:rPr>
        <w:t xml:space="preserve">5.  Impact Assessment</w:t>
      </w:r>
    </w:p>
    <w:p>
      <w:pPr>
        <w:spacing w:after="60"/>
      </w:pPr>
      <w:r>
        <w:rPr>
          <w:rFonts w:ascii="Arial" w:cs="Arial" w:eastAsia="Arial" w:hAnsi="Arial"/>
          <w:sz w:val="20"/>
          <w:szCs w:val="20"/>
        </w:rPr>
        <w:t xml:space="preserve"/>
      </w:r>
    </w:p>
    <w:p>
      <w:pPr>
        <w:spacing w:after="80"/>
      </w:pPr>
      <w:r>
        <w:rPr>
          <w:rFonts w:ascii="Arial" w:cs="Arial" w:eastAsia="Arial" w:hAnsi="Arial"/>
          <w:sz w:val="20"/>
          <w:szCs w:val="20"/>
        </w:rPr>
        <w:t xml:space="preserve">The table below details confirmed and potential impacts across technical and business dimensions.</w:t>
      </w:r>
    </w:p>
    <w:p>
      <w:pPr>
        <w:spacing w:after="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880"/>
        <w:gridCol w:w="2400"/>
      </w:tblGrid>
      <w:tr>
        <w:tc>
          <w:tcPr>
            <w:tcW w:type="dxa" w:w="1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Category</w:t>
            </w:r>
          </w:p>
        </w:tc>
        <w:tc>
          <w:tcPr>
            <w:tcW w:type="dxa" w:w="1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Type</w:t>
            </w:r>
          </w:p>
        </w:tc>
        <w:tc>
          <w:tcPr>
            <w:tcW w:type="dxa" w:w="48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Description</w:t>
            </w:r>
          </w:p>
        </w:tc>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Severity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Technical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333333"/>
                <w:sz w:val="18"/>
                <w:szCs w:val="18"/>
              </w:rPr>
              <w:t xml:space="preserve">System Compromise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An administrator workstation was fully compromised via macro-based malware, providing the attacker with persistent remote access, credential harvesting capability, and a pivot point into the AWS cloud environment. The host required forensic imaging and OS reimaging prior to return to service.</w:t>
            </w:r>
          </w:p>
        </w:tc>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0"/>
              <w:jc w:val="center"/>
            </w:pPr>
            <w:r>
              <w:rPr>
                <w:rFonts w:ascii="Arial" w:cs="Arial" w:eastAsia="Arial" w:hAnsi="Arial"/>
                <w:b/>
                <w:bCs/>
                <w:color w:val="FFFFFF"/>
                <w:sz w:val="18"/>
                <w:szCs w:val="18"/>
              </w:rPr>
              <w:t xml:space="preserve">Critical</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Technical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333333"/>
                <w:sz w:val="18"/>
                <w:szCs w:val="18"/>
              </w:rPr>
              <w:t xml:space="preserve">Data Exfiltration</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4,200 patient health records — including full names, dates of birth, diagnosis codes (ICD-10), and prescription histories — were exfiltrated from the patient-db-prod RDS instance. Records constitute Protected Health Information (PHI) under HIPAA. Data was transmitted via encrypted HTTPS to the attacker's C2 infrastructure.</w:t>
            </w:r>
          </w:p>
        </w:tc>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0"/>
              <w:jc w:val="center"/>
            </w:pPr>
            <w:r>
              <w:rPr>
                <w:rFonts w:ascii="Arial" w:cs="Arial" w:eastAsia="Arial" w:hAnsi="Arial"/>
                <w:b/>
                <w:bCs/>
                <w:color w:val="FFFFFF"/>
                <w:sz w:val="18"/>
                <w:szCs w:val="18"/>
              </w:rPr>
              <w:t xml:space="preserve">Critical</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Technical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333333"/>
                <w:sz w:val="18"/>
                <w:szCs w:val="18"/>
              </w:rPr>
              <w:t xml:space="preserve">IoT Device Risk</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The attacker targeted the IoT Device Management API to push unauthorized firmware to the connected medical device fleet. The firmware signing requirement blocked deployment; however, the access attempt demonstrates the attacker's intent to affect patient-facing medical hardware. A full IoT device integrity audit is required.</w:t>
            </w:r>
          </w:p>
        </w:tc>
        <w:tc>
          <w:tcPr>
            <w:tcW w:type="dxa" w:w="2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top"/>
          </w:tcPr>
          <w:p>
            <w:pPr>
              <w:spacing w:after="0"/>
              <w:jc w:val="center"/>
            </w:pPr>
            <w:r>
              <w:rPr>
                <w:rFonts w:ascii="Arial" w:cs="Arial" w:eastAsia="Arial" w:hAnsi="Arial"/>
                <w:b/>
                <w:bCs/>
                <w:color w:val="FFFFFF"/>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Business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333333"/>
                <w:sz w:val="18"/>
                <w:szCs w:val="18"/>
              </w:rPr>
              <w:t xml:space="preserve">Operational Disruption</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The cloud administrator workstation was isolated for 6+ hours during forensic triage, limiting platform engineering capacity. Two scheduled IoT firmware rollouts were postponed. The incident response team logged approximately 120 person-hours during the initial 24-hour response window.</w:t>
            </w:r>
          </w:p>
        </w:tc>
        <w:tc>
          <w:tcPr>
            <w:tcW w:type="dxa" w:w="2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top"/>
          </w:tcPr>
          <w:p>
            <w:pPr>
              <w:spacing w:after="0"/>
              <w:jc w:val="center"/>
            </w:pPr>
            <w:r>
              <w:rPr>
                <w:rFonts w:ascii="Arial" w:cs="Arial" w:eastAsia="Arial" w:hAnsi="Arial"/>
                <w:b/>
                <w:bCs/>
                <w:color w:val="FFFFFF"/>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Business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333333"/>
                <w:sz w:val="18"/>
                <w:szCs w:val="18"/>
              </w:rPr>
              <w:t xml:space="preserve">Regulatory / Compliance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The exfiltration of 4,200 PHI records triggers mandatory HIPAA Breach Notification Rule (45 CFR 164.400-414) requirements. 101 Health must notify affected individuals within 60 days and the Department of Health and Human Services (HHS) within 60 days. State breach notification laws (varies by patient location) may apply with shorter timelines.</w:t>
            </w:r>
          </w:p>
        </w:tc>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0"/>
              <w:jc w:val="center"/>
            </w:pPr>
            <w:r>
              <w:rPr>
                <w:rFonts w:ascii="Arial" w:cs="Arial" w:eastAsia="Arial" w:hAnsi="Arial"/>
                <w:b/>
                <w:bCs/>
                <w:color w:val="FFFFFF"/>
                <w:sz w:val="18"/>
                <w:szCs w:val="18"/>
              </w:rPr>
              <w:t xml:space="preserve">Critical</w:t>
            </w:r>
          </w:p>
        </w:tc>
      </w:tr>
      <w:tr>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Business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333333"/>
                <w:sz w:val="18"/>
                <w:szCs w:val="18"/>
              </w:rPr>
              <w:t xml:space="preserve">Reputational Risk</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Public disclosure of a breach affecting patient health data at a medical IoT startup may cause significant erosion of patient trust and partner confidence. Potential negative media coverage, loss of enterprise pilot customers, and increased scrutiny from healthcare regulators and investors. Stock/valuation impact if disclosed before a prepared communications strategy is in place.</w:t>
            </w:r>
          </w:p>
        </w:tc>
        <w:tc>
          <w:tcPr>
            <w:tcW w:type="dxa" w:w="2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top"/>
          </w:tcPr>
          <w:p>
            <w:pPr>
              <w:spacing w:after="0"/>
              <w:jc w:val="center"/>
            </w:pPr>
            <w:r>
              <w:rPr>
                <w:rFonts w:ascii="Arial" w:cs="Arial" w:eastAsia="Arial" w:hAnsi="Arial"/>
                <w:b/>
                <w:bCs/>
                <w:color w:val="FFFFFF"/>
                <w:sz w:val="18"/>
                <w:szCs w:val="18"/>
              </w:rPr>
              <w:t xml:space="preserve">High</w:t>
            </w:r>
          </w:p>
        </w:tc>
      </w:tr>
    </w:tbl>
    <w:p>
      <w:pPr>
        <w:spacing w:after="60"/>
      </w:pPr>
      <w:r>
        <w:rPr>
          <w:rFonts w:ascii="Arial" w:cs="Arial" w:eastAsia="Arial" w:hAnsi="Arial"/>
          <w:sz w:val="20"/>
          <w:szCs w:val="20"/>
        </w:rPr>
        <w:t xml:space="preserve"/>
      </w:r>
    </w:p>
    <w:p>
      <w:r>
        <w:br w:type="page"/>
      </w:r>
    </w:p>
    <w:p>
      <w:pPr>
        <w:pBdr>
          <w:bottom w:val="single" w:color="2E5FA3" w:sz="4"/>
        </w:pBdr>
        <w:shd w:fill="1F3864" w:val="clear"/>
        <w:spacing w:before="280" w:after="140"/>
        <w:ind w:left="120"/>
      </w:pPr>
      <w:r>
        <w:rPr>
          <w:rFonts w:ascii="Arial" w:cs="Arial" w:eastAsia="Arial" w:hAnsi="Arial"/>
          <w:b/>
          <w:bCs/>
          <w:color w:val="FFFFFF"/>
          <w:sz w:val="26"/>
          <w:szCs w:val="26"/>
        </w:rPr>
        <w:t xml:space="preserve">6.  Mitigation and Recovery Actions</w:t>
      </w:r>
    </w:p>
    <w:p>
      <w:pPr>
        <w:spacing w:after="60"/>
      </w:pPr>
      <w:r>
        <w:rPr>
          <w:rFonts w:ascii="Arial" w:cs="Arial" w:eastAsia="Arial" w:hAnsi="Arial"/>
          <w:sz w:val="20"/>
          <w:szCs w:val="20"/>
        </w:rPr>
        <w:t xml:space="preserve"/>
      </w:r>
    </w:p>
    <w:p>
      <w:pPr>
        <w:spacing w:after="80"/>
      </w:pPr>
      <w:r>
        <w:rPr>
          <w:rFonts w:ascii="Arial" w:cs="Arial" w:eastAsia="Arial" w:hAnsi="Arial"/>
          <w:sz w:val="20"/>
          <w:szCs w:val="20"/>
        </w:rPr>
        <w:t xml:space="preserve">The following actions have been taken or planned to contain the incident and restore operations securely.</w:t>
      </w:r>
    </w:p>
    <w:p>
      <w:pPr>
        <w:spacing w:after="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900"/>
        <w:gridCol w:w="1700"/>
        <w:gridCol w:w="1600"/>
        <w:gridCol w:w="1180"/>
      </w:tblGrid>
      <w:tr>
        <w:tc>
          <w:tcPr>
            <w:tcW w:type="dxa" w:w="11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Ref</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Action</w:t>
            </w:r>
          </w:p>
        </w:tc>
        <w:tc>
          <w:tcPr>
            <w:tcW w:type="dxa" w:w="29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Description</w:t>
            </w:r>
          </w:p>
        </w:tc>
        <w:tc>
          <w:tcPr>
            <w:tcW w:type="dxa" w:w="17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Responsible Party</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Verification Method</w:t>
            </w:r>
          </w:p>
        </w:tc>
        <w:tc>
          <w:tcPr>
            <w:tcW w:type="dxa" w:w="11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Status</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M-01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Network Isolation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Quarantined the compromised administrator workstation via CrowdStrike Falcon network containment mode. Blocked C2 IP (185.220.101.47) and domain (update-health-cloud[.]com) at the Palo Alto NGFW. All outbound connections from the isolated host were terminated within minutes of the containment decision.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SOC / IR 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Firewall rule audit; CrowdStrike containment status confirmed active; zero subsequent CloudTrail events from compromised host IP.</w:t>
            </w:r>
          </w:p>
        </w:tc>
        <w:tc>
          <w:tcPr>
            <w:tcW w:type="dxa" w:w="11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top"/>
          </w:tcPr>
          <w:p>
            <w:pPr>
              <w:spacing w:after="0"/>
              <w:jc w:val="center"/>
            </w:pPr>
            <w:r>
              <w:rPr>
                <w:rFonts w:ascii="Arial" w:cs="Arial" w:eastAsia="Arial" w:hAnsi="Arial"/>
                <w:b/>
                <w:bCs/>
                <w:color w:val="FFFFFF"/>
                <w:sz w:val="18"/>
                <w:szCs w:val="18"/>
              </w:rPr>
              <w:t xml:space="preserve">Completed</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M-02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IAM Remediation</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Disabled rogue IAM user svc_backup_admin and revoked all active sessions. Audited all IAM users and roles for unauthorized privilege escalations. Removed AdministratorAccess policy from non-human service accounts. Enforced MFA on all IAM console users via an SCP (Service Control Policy) at the AWS Organizations level.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Cloud Security Team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AWS IAM Credential Report verified no active keys for rogue user. CloudTrail shows zero API calls from svc_backup_admin post-remediation.</w:t>
            </w:r>
          </w:p>
        </w:tc>
        <w:tc>
          <w:tcPr>
            <w:tcW w:type="dxa" w:w="11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top"/>
          </w:tcPr>
          <w:p>
            <w:pPr>
              <w:spacing w:after="0"/>
              <w:jc w:val="center"/>
            </w:pPr>
            <w:r>
              <w:rPr>
                <w:rFonts w:ascii="Arial" w:cs="Arial" w:eastAsia="Arial" w:hAnsi="Arial"/>
                <w:b/>
                <w:bCs/>
                <w:color w:val="FFFFFF"/>
                <w:sz w:val="18"/>
                <w:szCs w:val="18"/>
              </w:rPr>
              <w:t xml:space="preserve">Completed</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M-03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Credential Reset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Forced password resets for all users whose credentials were co-located with the compromised administrator workstation. Rotated all AWS access keys associated with the affected IAM principal. Cleared and regenerated API tokens for the IoT Management API service account.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IT Operations / Cloud Security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SIEM confirms no authentication events using the old credential hashes. AWS IAM access keys deactivated and verified via aws iam list-access-keys.</w:t>
            </w:r>
          </w:p>
        </w:tc>
        <w:tc>
          <w:tcPr>
            <w:tcW w:type="dxa" w:w="11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top"/>
          </w:tcPr>
          <w:p>
            <w:pPr>
              <w:spacing w:after="0"/>
              <w:jc w:val="center"/>
            </w:pPr>
            <w:r>
              <w:rPr>
                <w:rFonts w:ascii="Arial" w:cs="Arial" w:eastAsia="Arial" w:hAnsi="Arial"/>
                <w:b/>
                <w:bCs/>
                <w:color w:val="FFFFFF"/>
                <w:sz w:val="18"/>
                <w:szCs w:val="18"/>
              </w:rPr>
              <w:t xml:space="preserve">Completed</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R-01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Forensic Investigation</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Perform full forensic imaging and analysis of the compromised workstation to determine the complete attacker dwell time, any additional data accessed, and whether any persistence mechanisms (scheduled tasks, registry run keys, additional users) were established that may not yet be identified.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IR Team / DFIR Vendor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Forensic report delivered; timeline reconciled with SIEM and EDR telemetry. No unresolved artifacts remain.</w:t>
            </w:r>
          </w:p>
        </w:tc>
        <w:tc>
          <w:tcPr>
            <w:tcW w:type="dxa" w:w="118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top"/>
          </w:tcPr>
          <w:p>
            <w:pPr>
              <w:spacing w:after="0"/>
              <w:jc w:val="center"/>
            </w:pPr>
            <w:r>
              <w:rPr>
                <w:rFonts w:ascii="Arial" w:cs="Arial" w:eastAsia="Arial" w:hAnsi="Arial"/>
                <w:b/>
                <w:bCs/>
                <w:color w:val="FFFFFF"/>
                <w:sz w:val="18"/>
                <w:szCs w:val="18"/>
              </w:rPr>
              <w:t xml:space="preserve">In Progress</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R-02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HIPAA Breach Notification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Engage legal counsel and privacy officer to initiate mandatory HIPAA Breach Notification procedures. Draft and send breach notification letters to all 4,200 affected individuals. Submit HHS breach report via the HHS Breach Reporting Portal. Assess applicable state notification deadlines for all patient jurisdictions.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Legal / Privacy Officer / CEO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All notifications sent within 60-day deadline; HHS acknowledgment receipt obtained; legal review signed off.</w:t>
            </w:r>
          </w:p>
        </w:tc>
        <w:tc>
          <w:tcPr>
            <w:tcW w:type="dxa" w:w="118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top"/>
          </w:tcPr>
          <w:p>
            <w:pPr>
              <w:spacing w:after="0"/>
              <w:jc w:val="center"/>
            </w:pPr>
            <w:r>
              <w:rPr>
                <w:rFonts w:ascii="Arial" w:cs="Arial" w:eastAsia="Arial" w:hAnsi="Arial"/>
                <w:b/>
                <w:bCs/>
                <w:color w:val="FFFFFF"/>
                <w:sz w:val="18"/>
                <w:szCs w:val="18"/>
              </w:rPr>
              <w:t xml:space="preserve">In Progress</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R-03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Workstation Rebuild &amp; Hardening</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Reimage the compromised workstation from a known-good golden image. Deploy hardened baseline configuration (CIS Benchmark Level 2) with attack surface reduction rules enabled. Disable VBA macros from the internet for all Office applications via Group Policy. Re-enroll in EDR with enhanced detections enabled.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IT Operations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CIS-CAT Pro scan score &gt;90%. EDR telemetry confirms agent enrolled and policies applied. Macro-disable policy confirmed via GPResult.</w:t>
            </w:r>
          </w:p>
        </w:tc>
        <w:tc>
          <w:tcPr>
            <w:tcW w:type="dxa" w:w="118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top"/>
          </w:tcPr>
          <w:p>
            <w:pPr>
              <w:spacing w:after="0"/>
              <w:jc w:val="center"/>
            </w:pPr>
            <w:r>
              <w:rPr>
                <w:rFonts w:ascii="Arial" w:cs="Arial" w:eastAsia="Arial" w:hAnsi="Arial"/>
                <w:b/>
                <w:bCs/>
                <w:color w:val="FFFFFF"/>
                <w:sz w:val="18"/>
                <w:szCs w:val="18"/>
              </w:rPr>
              <w:t xml:space="preserve">Planned</w:t>
            </w:r>
          </w:p>
        </w:tc>
      </w:tr>
    </w:tbl>
    <w:p>
      <w:pPr>
        <w:spacing w:after="60"/>
      </w:pPr>
      <w:r>
        <w:rPr>
          <w:rFonts w:ascii="Arial" w:cs="Arial" w:eastAsia="Arial" w:hAnsi="Arial"/>
          <w:sz w:val="20"/>
          <w:szCs w:val="20"/>
        </w:rPr>
        <w:t xml:space="preserve"/>
      </w:r>
    </w:p>
    <w:p>
      <w:r>
        <w:br w:type="page"/>
      </w:r>
    </w:p>
    <w:p>
      <w:pPr>
        <w:pBdr>
          <w:bottom w:val="single" w:color="2E5FA3" w:sz="4"/>
        </w:pBdr>
        <w:shd w:fill="1F3864" w:val="clear"/>
        <w:spacing w:before="280" w:after="140"/>
        <w:ind w:left="120"/>
      </w:pPr>
      <w:r>
        <w:rPr>
          <w:rFonts w:ascii="Arial" w:cs="Arial" w:eastAsia="Arial" w:hAnsi="Arial"/>
          <w:b/>
          <w:bCs/>
          <w:color w:val="FFFFFF"/>
          <w:sz w:val="26"/>
          <w:szCs w:val="26"/>
        </w:rPr>
        <w:t xml:space="preserve">7.  Recommendations and Lessons Learned</w:t>
      </w:r>
    </w:p>
    <w:p>
      <w:pPr>
        <w:spacing w:after="60"/>
      </w:pPr>
      <w:r>
        <w:rPr>
          <w:rFonts w:ascii="Arial" w:cs="Arial" w:eastAsia="Arial" w:hAnsi="Arial"/>
          <w:sz w:val="20"/>
          <w:szCs w:val="20"/>
        </w:rPr>
        <w:t xml:space="preserve"/>
      </w:r>
    </w:p>
    <w:p>
      <w:pPr>
        <w:spacing w:after="80"/>
      </w:pPr>
      <w:r>
        <w:rPr>
          <w:rFonts w:ascii="Arial" w:cs="Arial" w:eastAsia="Arial" w:hAnsi="Arial"/>
          <w:sz w:val="20"/>
          <w:szCs w:val="20"/>
        </w:rPr>
        <w:t xml:space="preserve">The following recommendations address root-cause gaps identified during this incident. Implementation should be tracked in the organization's risk register.</w:t>
      </w:r>
    </w:p>
    <w:p>
      <w:pPr>
        <w:spacing w:after="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580"/>
        <w:gridCol w:w="1600"/>
        <w:gridCol w:w="160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Ref</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Focus Area</w:t>
            </w:r>
          </w:p>
        </w:tc>
        <w:tc>
          <w:tcPr>
            <w:tcW w:type="dxa" w:w="35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Recommendation</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Timeline</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Verification Method</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REC-01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2E5FA3"/>
                <w:sz w:val="18"/>
                <w:szCs w:val="18"/>
              </w:rPr>
              <w:t xml:space="preserve">Email Security &amp; Anti-Phishing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Enforce DMARC policy (p=reject) for all 101 Health domains and configure DKIM signing for all outbound mail streams. Deploy an advanced email security gateway (e.g., Proofpoint, Mimecast) with sandbox detonation of attachments and URL rewriting. Conduct quarterly phishing simulation exercises with mandatory remediation training for click-throughs.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D35400"/>
                <w:sz w:val="18"/>
                <w:szCs w:val="18"/>
              </w:rPr>
              <w:t xml:space="preserve">30 days (DMARC); 60 days (gateway)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DMARC reporting shows policy=reject; email gateway sandbox report confirms attachment scanning active. Phishing simulation click rate &lt;5%.</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REC-02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2E5FA3"/>
                <w:sz w:val="18"/>
                <w:szCs w:val="18"/>
              </w:rPr>
              <w:t xml:space="preserve">Multi-Factor Authentication (MFA) &amp; Privileged Access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Mandate hardware MFA (FIDO2/WebAuthn security keys) for all privileged AWS IAM users, console access, and VPN authentication. Implement a Privileged Access Workstation (PAW) model for cloud infrastructure management. Adopt a Just-In-Time (JIT) privilege model using AWS IAM Identity Center to eliminate standing AdministratorAccess assignments.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D35400"/>
                <w:sz w:val="18"/>
                <w:szCs w:val="18"/>
              </w:rPr>
              <w:t xml:space="preserve">30 days (MFA); 90 days (PAW / JIT)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AWS IAM Credential Report confirms 100% MFA enrollment for privileged users. IAM Identity Center session reports reviewed monthly. Zero standing admin accounts verified.</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REC-03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2E5FA3"/>
                <w:sz w:val="18"/>
                <w:szCs w:val="18"/>
              </w:rPr>
              <w:t xml:space="preserve">Endpoint Detection &amp; Macro Controls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Upgrade EDR policy to block (not alert) macro execution from Office documents received from the internet (Mark-of-the-Web policy via GPO). Enable PowerShell Constrained Language Mode and ScriptBlock logging (Event ID 4104) across all endpoints. Configure EDR alert auto-escalation so any macro-spawned shell process triggers immediate P1 incident creation.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D35400"/>
                <w:sz w:val="18"/>
                <w:szCs w:val="18"/>
              </w:rPr>
              <w:t xml:space="preserve">14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GPO audit confirms macro policy deployed to all managed endpoints. EDR policy report shows block mode active. Test document with benign macro confirms block behavior. SIEM confirms ScriptBlock logging ingestion.</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REC-04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2E5FA3"/>
                <w:sz w:val="18"/>
                <w:szCs w:val="18"/>
              </w:rPr>
              <w:t xml:space="preserve">Cloud Security Posture &amp; Monitoring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Enable AWS GuardDuty Malware Protection and Security Hub across all regions and accounts. Implement AWS Config rules to detect and auto-remediate overly permissive IAM policies (e.g., lambda function to disable new IAM users with AdministratorAccess within 5 minutes of creation). Establish a CSPM tool (e.g., Wiz, Orca) for continuous cloud misconfiguration detection.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D35400"/>
                <w:sz w:val="18"/>
                <w:szCs w:val="18"/>
              </w:rPr>
              <w:t xml:space="preserve">30 days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GuardDuty and Security Hub dashboards show 0 critical findings unaddressed &gt;24h. AWS Config compliance score &gt;95%. CSPM tool reports reviewed weekly.</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REC-05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2E5FA3"/>
                <w:sz w:val="18"/>
                <w:szCs w:val="18"/>
              </w:rPr>
              <w:t xml:space="preserve">IoT Firmware Integrity &amp; Supply Chain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Conduct a full IoT device firmware integrity audit across the entire deployed fleet using device attestation. Implement a hardware root of trust (e.g., TPM 2.0 or ARM TrustZone) for all new IoT device manufacturing runs. Establish a Software Bill of Materials (SBOM) for all firmware images and integrate SCA tooling into the CI/CD 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D35400"/>
                <w:sz w:val="18"/>
                <w:szCs w:val="18"/>
              </w:rPr>
              <w:t xml:space="preserve">45 days (audit); 6 months (hardware root of trust)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Firmware attestation report covers 100% of deployed devices. SBOM generated for all firmware versions in production. SCA tool integrated and blocking on known-vulnerable components in CI/CD.</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pPr>
            <w:r>
              <w:rPr>
                <w:rFonts w:ascii="Arial" w:cs="Arial" w:eastAsia="Arial" w:hAnsi="Arial"/>
                <w:b/>
                <w:bCs/>
                <w:color w:val="1F3864"/>
                <w:sz w:val="18"/>
                <w:szCs w:val="18"/>
              </w:rPr>
              <w:t xml:space="preserve">REC-06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2E5FA3"/>
                <w:sz w:val="18"/>
                <w:szCs w:val="18"/>
              </w:rPr>
              <w:t xml:space="preserve">Incident Response Readiness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Formalize and tabletop-test the Incident Response Plan (IRP) with specific playbooks for cloud compromise, IoT device tampering, and HIPAA breach scenarios. Establish a pre-negotiated retainer with a specialist DFIR firm with healthcare sector experience. Conduct a full IR exercise (purple team) within 90 days of this incident.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D35400"/>
                <w:sz w:val="18"/>
                <w:szCs w:val="18"/>
              </w:rPr>
              <w:t xml:space="preserve">60 days (IRP update); 90 days (tabletop exercise)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333333"/>
                <w:sz w:val="18"/>
                <w:szCs w:val="18"/>
              </w:rPr>
              <w:t xml:space="preserve">Updated IRP signed by CISO and Legal. Tabletop exercise completion report with lessons-learned log. DFIR retainer contract executed.</w:t>
            </w:r>
          </w:p>
        </w:tc>
      </w:tr>
    </w:tbl>
    <w:p>
      <w:pPr>
        <w:spacing w:after="60"/>
      </w:pPr>
      <w:r>
        <w:rPr>
          <w:rFonts w:ascii="Arial" w:cs="Arial" w:eastAsia="Arial" w:hAnsi="Arial"/>
          <w:sz w:val="20"/>
          <w:szCs w:val="20"/>
        </w:rPr>
        <w:t xml:space="preserve"/>
      </w:r>
    </w:p>
    <w:p>
      <w:r>
        <w:br w:type="page"/>
      </w:r>
    </w:p>
    <w:p>
      <w:pPr>
        <w:pBdr>
          <w:bottom w:val="single" w:color="2E5FA3" w:sz="4"/>
        </w:pBdr>
        <w:shd w:fill="1F3864" w:val="clear"/>
        <w:spacing w:before="280" w:after="140"/>
        <w:ind w:left="120"/>
      </w:pPr>
      <w:r>
        <w:rPr>
          <w:rFonts w:ascii="Arial" w:cs="Arial" w:eastAsia="Arial" w:hAnsi="Arial"/>
          <w:b/>
          <w:bCs/>
          <w:color w:val="FFFFFF"/>
          <w:sz w:val="26"/>
          <w:szCs w:val="26"/>
        </w:rPr>
        <w:t xml:space="preserve">8.  Key Lessons Learned</w:t>
      </w:r>
    </w:p>
    <w:p>
      <w:pPr>
        <w:spacing w:after="60"/>
      </w:pPr>
      <w:r>
        <w:rPr>
          <w:rFonts w:ascii="Arial" w:cs="Arial" w:eastAsia="Arial" w:hAnsi="Arial"/>
          <w:sz w:val="20"/>
          <w:szCs w:val="20"/>
        </w:rPr>
        <w:t xml:space="preserve"/>
      </w:r>
    </w:p>
    <w:p>
      <w:pPr>
        <w:pBdr>
          <w:left w:val="single" w:color="2E5FA3" w:sz="12" w:space="8"/>
        </w:pBdr>
        <w:spacing w:before="160" w:after="60"/>
        <w:ind w:left="240"/>
      </w:pPr>
      <w:r>
        <w:rPr>
          <w:rFonts w:ascii="Arial" w:cs="Arial" w:eastAsia="Arial" w:hAnsi="Arial"/>
          <w:b/>
          <w:bCs/>
          <w:color w:val="1F3864"/>
          <w:sz w:val="22"/>
          <w:szCs w:val="22"/>
        </w:rPr>
        <w:t xml:space="preserve">Alert Fatigue is a Critical Risk</w:t>
      </w:r>
    </w:p>
    <w:p>
      <w:pPr>
        <w:spacing w:after="100"/>
        <w:ind w:left="240"/>
      </w:pPr>
      <w:r>
        <w:rPr>
          <w:rFonts w:ascii="Arial" w:cs="Arial" w:eastAsia="Arial" w:hAnsi="Arial"/>
          <w:sz w:val="20"/>
          <w:szCs w:val="20"/>
        </w:rPr>
        <w:t xml:space="preserve">The initial EDR alert (macro-spawned PowerShell) was generated at low confidence and not triaged in time to prevent the subsequent stages of the attack. Low-fidelity alerts must be tuned, correlated, and auto-escalated rather than silently dropped. Consider implementing SOAR (Security Orchestration, Automation, and Response) to automate triage and enrichment of high-volume alerts.</w:t>
      </w:r>
    </w:p>
    <w:p>
      <w:pPr>
        <w:pBdr>
          <w:left w:val="single" w:color="2E5FA3" w:sz="12" w:space="8"/>
        </w:pBdr>
        <w:spacing w:before="160" w:after="60"/>
        <w:ind w:left="240"/>
      </w:pPr>
      <w:r>
        <w:rPr>
          <w:rFonts w:ascii="Arial" w:cs="Arial" w:eastAsia="Arial" w:hAnsi="Arial"/>
          <w:b/>
          <w:bCs/>
          <w:color w:val="1F3864"/>
          <w:sz w:val="22"/>
          <w:szCs w:val="22"/>
        </w:rPr>
        <w:t xml:space="preserve">Least Privilege Was Not Enforced in the Cloud</w:t>
      </w:r>
    </w:p>
    <w:p>
      <w:pPr>
        <w:spacing w:after="100"/>
        <w:ind w:left="240"/>
      </w:pPr>
      <w:r>
        <w:rPr>
          <w:rFonts w:ascii="Arial" w:cs="Arial" w:eastAsia="Arial" w:hAnsi="Arial"/>
          <w:sz w:val="20"/>
          <w:szCs w:val="20"/>
        </w:rPr>
        <w:t xml:space="preserve">The compromised administrator's AWS credentials granted access far beyond what was required for their role, enabling the attacker to create new IAM users and access production databases. A strict least-privilege IAM model with role-based access control would have contained the blast radius significantly.</w:t>
      </w:r>
    </w:p>
    <w:p>
      <w:pPr>
        <w:pBdr>
          <w:left w:val="single" w:color="2E5FA3" w:sz="12" w:space="8"/>
        </w:pBdr>
        <w:spacing w:before="160" w:after="60"/>
        <w:ind w:left="240"/>
      </w:pPr>
      <w:r>
        <w:rPr>
          <w:rFonts w:ascii="Arial" w:cs="Arial" w:eastAsia="Arial" w:hAnsi="Arial"/>
          <w:b/>
          <w:bCs/>
          <w:color w:val="1F3864"/>
          <w:sz w:val="22"/>
          <w:szCs w:val="22"/>
        </w:rPr>
        <w:t xml:space="preserve">Existing Controls Prevented Greater Harm</w:t>
      </w:r>
    </w:p>
    <w:p>
      <w:pPr>
        <w:spacing w:after="100"/>
        <w:ind w:left="240"/>
      </w:pPr>
      <w:r>
        <w:rPr>
          <w:rFonts w:ascii="Arial" w:cs="Arial" w:eastAsia="Arial" w:hAnsi="Arial"/>
          <w:sz w:val="20"/>
          <w:szCs w:val="20"/>
        </w:rPr>
        <w:t xml:space="preserve">The IoT firmware signing requirement was a decisive mitigating control — it prevented the attacker from pushing malicious firmware to the patient-facing device fleet. This demonstrates that defense-in-depth works and should be extended to other critical asset classes.</w:t>
      </w:r>
    </w:p>
    <w:p>
      <w:pPr>
        <w:pBdr>
          <w:left w:val="single" w:color="2E5FA3" w:sz="12" w:space="8"/>
        </w:pBdr>
        <w:spacing w:before="160" w:after="60"/>
        <w:ind w:left="240"/>
      </w:pPr>
      <w:r>
        <w:rPr>
          <w:rFonts w:ascii="Arial" w:cs="Arial" w:eastAsia="Arial" w:hAnsi="Arial"/>
          <w:b/>
          <w:bCs/>
          <w:color w:val="1F3864"/>
          <w:sz w:val="22"/>
          <w:szCs w:val="22"/>
        </w:rPr>
        <w:t xml:space="preserve">Phishing Remains the Most Common Initial Vector</w:t>
      </w:r>
    </w:p>
    <w:p>
      <w:pPr>
        <w:spacing w:after="100"/>
        <w:ind w:left="240"/>
      </w:pPr>
      <w:r>
        <w:rPr>
          <w:rFonts w:ascii="Arial" w:cs="Arial" w:eastAsia="Arial" w:hAnsi="Arial"/>
          <w:sz w:val="20"/>
          <w:szCs w:val="20"/>
        </w:rPr>
        <w:t xml:space="preserve">Despite the technical sophistication of the subsequent attack chain, initial access was achieved through a simple macro-enabled attachment. Investment in email security controls and security awareness training delivers the highest ROI in reducing initial access risk.</w:t>
      </w:r>
    </w:p>
    <w:p>
      <w:pPr>
        <w:pBdr>
          <w:left w:val="single" w:color="2E5FA3" w:sz="12" w:space="8"/>
        </w:pBdr>
        <w:spacing w:before="160" w:after="60"/>
        <w:ind w:left="240"/>
      </w:pPr>
      <w:r>
        <w:rPr>
          <w:rFonts w:ascii="Arial" w:cs="Arial" w:eastAsia="Arial" w:hAnsi="Arial"/>
          <w:b/>
          <w:bCs/>
          <w:color w:val="1F3864"/>
          <w:sz w:val="22"/>
          <w:szCs w:val="22"/>
        </w:rPr>
        <w:t xml:space="preserve">HIPAA Breach Response Preparedness is Non-Negotiable</w:t>
      </w:r>
    </w:p>
    <w:p>
      <w:pPr>
        <w:spacing w:after="100"/>
        <w:ind w:left="240"/>
      </w:pPr>
      <w:r>
        <w:rPr>
          <w:rFonts w:ascii="Arial" w:cs="Arial" w:eastAsia="Arial" w:hAnsi="Arial"/>
          <w:sz w:val="20"/>
          <w:szCs w:val="20"/>
        </w:rPr>
        <w:t xml:space="preserve">The absence of a pre-approved HIPAA breach notification template and pre-established legal/privacy officer workflows added hours of delay to the regulatory response. For a healthcare startup, breach response playbooks must be ready before they are needed.</w:t>
      </w:r>
    </w:p>
    <w:p>
      <w:pPr>
        <w:spacing w:after="60"/>
      </w:pPr>
      <w:r>
        <w:rPr>
          <w:rFonts w:ascii="Arial" w:cs="Arial" w:eastAsia="Arial" w:hAnsi="Arial"/>
          <w:sz w:val="20"/>
          <w:szCs w:val="20"/>
        </w:rPr>
        <w:t xml:space="preserve"/>
      </w:r>
    </w:p>
    <w:p>
      <w:pPr>
        <w:pBdr>
          <w:bottom w:val="single" w:color="2E5FA3" w:sz="4"/>
        </w:pBdr>
        <w:shd w:fill="1F3864" w:val="clear"/>
        <w:spacing w:before="280" w:after="140"/>
        <w:ind w:left="120"/>
      </w:pPr>
      <w:r>
        <w:rPr>
          <w:rFonts w:ascii="Arial" w:cs="Arial" w:eastAsia="Arial" w:hAnsi="Arial"/>
          <w:b/>
          <w:bCs/>
          <w:color w:val="FFFFFF"/>
          <w:sz w:val="26"/>
          <w:szCs w:val="26"/>
        </w:rPr>
        <w:t xml:space="preserve">9.  Report Sign-Off</w:t>
      </w:r>
    </w:p>
    <w:p>
      <w:pPr>
        <w:spacing w:after="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Role</w:t>
            </w:r>
          </w:p>
        </w:tc>
        <w:tc>
          <w:tcPr>
            <w:tcW w:type="dxa" w:w="33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Name</w:t>
            </w:r>
          </w:p>
        </w:tc>
        <w:tc>
          <w:tcPr>
            <w:tcW w:type="dxa" w:w="33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Signature / Date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Lead Incident Responder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Security Consultant, 101 Health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AAAAAA"/>
                <w:sz w:val="18"/>
                <w:szCs w:val="18"/>
              </w:rPr>
              <w:t xml:space="preserve">_______________________</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CISO / Security Lead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101 Health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AAAAAA"/>
                <w:sz w:val="18"/>
                <w:szCs w:val="18"/>
              </w:rPr>
              <w:t xml:space="preserve">_______________________</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Privacy Officer / Legal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101 Health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AAAAAA"/>
                <w:sz w:val="18"/>
                <w:szCs w:val="18"/>
              </w:rPr>
              <w:t xml:space="preserve">_______________________</w:t>
            </w:r>
          </w:p>
        </w:tc>
      </w:tr>
    </w:tbl>
    <w:p>
      <w:pPr>
        <w:spacing w:after="60"/>
      </w:pPr>
      <w:r>
        <w:rPr>
          <w:rFonts w:ascii="Arial" w:cs="Arial" w:eastAsia="Arial" w:hAnsi="Arial"/>
          <w:sz w:val="20"/>
          <w:szCs w:val="20"/>
        </w:rPr>
        <w:t xml:space="preserve"/>
      </w:r>
    </w:p>
    <w:p>
      <w:pPr>
        <w:spacing w:after="80"/>
        <w:jc w:val="center"/>
      </w:pPr>
      <w:r>
        <w:rPr>
          <w:rFonts w:ascii="Arial" w:cs="Arial" w:eastAsia="Arial" w:hAnsi="Arial"/>
          <w:color w:val="555555"/>
          <w:sz w:val="20"/>
          <w:szCs w:val="20"/>
        </w:rPr>
        <w:t xml:space="preserve">This report is classified </w:t>
      </w:r>
      <w:r>
        <w:rPr>
          <w:rFonts w:ascii="Arial" w:cs="Arial" w:eastAsia="Arial" w:hAnsi="Arial"/>
          <w:b/>
          <w:bCs/>
          <w:color w:val="C0392B"/>
          <w:sz w:val="20"/>
          <w:szCs w:val="20"/>
        </w:rPr>
        <w:t xml:space="preserve">CONFIDENTIAL</w:t>
      </w:r>
      <w:r>
        <w:rPr>
          <w:rFonts w:ascii="Arial" w:cs="Arial" w:eastAsia="Arial" w:hAnsi="Arial"/>
          <w:color w:val="555555"/>
          <w:sz w:val="20"/>
          <w:szCs w:val="20"/>
        </w:rPr>
        <w:t xml:space="preserve">. Distribution is restricted to authorized personnel with a need-to-know basis. Unauthorized disclosure is prohibited and may constitute a violation of applicable privacy laws.</w:t>
      </w:r>
    </w:p>
    <w:p>
      <w:pPr>
        <w:spacing w:after="60"/>
      </w:pPr>
      <w:r>
        <w:rPr>
          <w:rFonts w:ascii="Arial" w:cs="Arial" w:eastAsia="Arial" w:hAnsi="Arial"/>
          <w:sz w:val="20"/>
          <w:szCs w:val="2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3" w:space="1"/>
      </w:pBdr>
      <w:tabs>
        <w:tab w:val="right" w:pos="9026"/>
      </w:tabs>
      <w:spacing w:before="60" w:after="0"/>
    </w:pPr>
    <w:r>
      <w:rPr>
        <w:rFonts w:ascii="Arial" w:cs="Arial" w:eastAsia="Arial" w:hAnsi="Arial"/>
        <w:b/>
        <w:bCs/>
        <w:color w:val="C0392B"/>
        <w:sz w:val="16"/>
        <w:szCs w:val="16"/>
      </w:rPr>
      <w:t xml:space="preserve">CONFIDENTIAL — FOR AUTHORIZED PERSONNEL ONLY</w:t>
    </w:r>
    <w: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3" w:space="1"/>
      </w:pBdr>
      <w:tabs>
        <w:tab w:val="right" w:pos="9026"/>
      </w:tabs>
      <w:spacing w:after="0"/>
    </w:pPr>
    <w:r>
      <w:rPr>
        <w:rFonts w:ascii="Arial" w:cs="Arial" w:eastAsia="Arial" w:hAnsi="Arial"/>
        <w:color w:val="888888"/>
        <w:sz w:val="18"/>
        <w:szCs w:val="18"/>
      </w:rPr>
      <w:t xml:space="preserve">101 Health  |  Confidential Incident Report</w:t>
    </w:r>
    <w:r>
      <w:t xml:space="preserve">	</w:t>
    </w:r>
    <w:r>
      <w:rPr>
        <w:rFonts w:ascii="Arial" w:cs="Arial" w:eastAsia="Arial" w:hAnsi="Arial"/>
        <w:color w:val="888888"/>
        <w:sz w:val="18"/>
        <w:szCs w:val="18"/>
      </w:rPr>
      <w:t xml:space="preserve">Prepared: March 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2026-03-06T13:20:07.104Z</dcterms:created>
  <dcterms:modified xsi:type="dcterms:W3CDTF">2026-03-06T13:20:07.105Z</dcterms:modified>
</cp:coreProperties>
</file>

<file path=docProps/custom.xml><?xml version="1.0" encoding="utf-8"?>
<Properties xmlns="http://schemas.openxmlformats.org/officeDocument/2006/custom-properties" xmlns:vt="http://schemas.openxmlformats.org/officeDocument/2006/docPropsVTypes"/>
</file>