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5A4" w:rsidRDefault="008D4603">
      <w:pPr>
        <w:spacing w:before="480" w:after="80"/>
        <w:jc w:val="center"/>
      </w:pPr>
      <w:r>
        <w:rPr>
          <w:color w:val="555555"/>
          <w:sz w:val="20"/>
          <w:szCs w:val="20"/>
        </w:rPr>
        <w:t>Final Project</w:t>
      </w:r>
    </w:p>
    <w:p w:rsidR="002C05A4" w:rsidRDefault="008D4603">
      <w:pPr>
        <w:spacing w:before="80" w:after="80"/>
        <w:jc w:val="center"/>
      </w:pPr>
      <w:r>
        <w:rPr>
          <w:b/>
          <w:bCs/>
          <w:color w:val="1F3864"/>
          <w:sz w:val="40"/>
          <w:szCs w:val="40"/>
        </w:rPr>
        <w:t>Design and Document a Hybrid/Multi-Cloud Architecture</w:t>
      </w:r>
    </w:p>
    <w:p w:rsidR="002C05A4" w:rsidRDefault="008D4603">
      <w:pPr>
        <w:spacing w:before="80" w:after="480"/>
        <w:jc w:val="center"/>
      </w:pPr>
      <w:r>
        <w:rPr>
          <w:color w:val="2E5597"/>
          <w:sz w:val="24"/>
          <w:szCs w:val="24"/>
        </w:rPr>
        <w:t>Global Retail Enterprise — Cloud Architect Submission</w:t>
      </w:r>
    </w:p>
    <w:p w:rsidR="002C05A4" w:rsidRDefault="002C05A4">
      <w:pPr>
        <w:pBdr>
          <w:bottom w:val="single" w:sz="6" w:space="1" w:color="2E5597"/>
        </w:pBdr>
        <w:spacing w:before="160" w:after="160"/>
      </w:pPr>
    </w:p>
    <w:p w:rsidR="002C05A4" w:rsidRDefault="002C05A4">
      <w:pPr>
        <w:spacing w:before="80" w:after="80"/>
      </w:pPr>
    </w:p>
    <w:p w:rsidR="002C05A4" w:rsidRDefault="008D4603">
      <w:pPr>
        <w:pStyle w:val="Heading1"/>
      </w:pPr>
      <w:r>
        <w:rPr>
          <w:sz w:val="28"/>
          <w:szCs w:val="28"/>
        </w:rPr>
        <w:t xml:space="preserve">1.  Architecture Design and Pattern </w:t>
      </w:r>
      <w:proofErr w:type="gramStart"/>
      <w:r>
        <w:rPr>
          <w:sz w:val="28"/>
          <w:szCs w:val="28"/>
        </w:rPr>
        <w:t>Selection  (</w:t>
      </w:r>
      <w:proofErr w:type="gramEnd"/>
      <w:r>
        <w:rPr>
          <w:sz w:val="28"/>
          <w:szCs w:val="28"/>
        </w:rPr>
        <w:t>5 Points)</w:t>
      </w:r>
    </w:p>
    <w:p w:rsidR="00160E79" w:rsidRDefault="008D4603">
      <w:pPr>
        <w:spacing w:before="80" w:after="160"/>
      </w:pPr>
      <w:r>
        <w:t xml:space="preserve">The proposed architecture adopts an </w:t>
      </w:r>
      <w:r>
        <w:rPr>
          <w:b/>
          <w:bCs/>
        </w:rPr>
        <w:t>Active-Passive Disaster Recovery with Burst-to-Cloud</w:t>
      </w:r>
      <w:r>
        <w:t xml:space="preserve"> hybrid </w:t>
      </w:r>
      <w:proofErr w:type="spellStart"/>
      <w:r>
        <w:t>multicloud</w:t>
      </w:r>
      <w:proofErr w:type="spellEnd"/>
      <w:r>
        <w:t xml:space="preserve"> pattern. The on-premises data </w:t>
      </w:r>
      <w:proofErr w:type="spellStart"/>
      <w:r>
        <w:t>center</w:t>
      </w:r>
      <w:proofErr w:type="spellEnd"/>
      <w:r>
        <w:t xml:space="preserve"> continues to serve as the compliance anchor for all regulated workloads — order processing, payment systems, inventory management, and financial rec</w:t>
      </w:r>
      <w:r>
        <w:t>ords — preserving PCI-DSS and SOX compliance without re-engineering sensitive transaction flows. Amazon Web Services (AWS) functions as the primary cloud, hosting a warm standby environment in us-east-1 that mirrors on-premises transactional services via a</w:t>
      </w:r>
      <w:r>
        <w:t xml:space="preserve">synchronous database replication. </w:t>
      </w:r>
    </w:p>
    <w:p w:rsidR="00160E79" w:rsidRDefault="008D4603">
      <w:pPr>
        <w:spacing w:before="80" w:after="160"/>
      </w:pPr>
      <w:r>
        <w:t xml:space="preserve">Microsoft Azure provides a dedicated analytics and </w:t>
      </w:r>
      <w:proofErr w:type="gramStart"/>
      <w:r>
        <w:t>machine learning</w:t>
      </w:r>
      <w:proofErr w:type="gramEnd"/>
      <w:r>
        <w:t xml:space="preserve"> platform, offloading compute-intensive personalization and business intelligence workloads that the on-premises environment cannot scale elastically. The </w:t>
      </w:r>
      <w:r>
        <w:t xml:space="preserve">active-passive pattern </w:t>
      </w:r>
      <w:proofErr w:type="gramStart"/>
      <w:r>
        <w:t>was selected</w:t>
      </w:r>
      <w:proofErr w:type="gramEnd"/>
      <w:r>
        <w:t xml:space="preserve"> over active-active because it delivers significant cost efficiency while still achieving the defined RTO of under four hours and RPO of under fifteen minutes. </w:t>
      </w:r>
    </w:p>
    <w:p w:rsidR="002C05A4" w:rsidRDefault="008D4603">
      <w:pPr>
        <w:spacing w:before="80" w:after="160"/>
      </w:pPr>
      <w:r>
        <w:t xml:space="preserve">The key trade-off accepted is a brief recovery window rather </w:t>
      </w:r>
      <w:r>
        <w:t xml:space="preserve">than zero-downtime failover. This design improves availability by eliminating the single data </w:t>
      </w:r>
      <w:proofErr w:type="spellStart"/>
      <w:r>
        <w:t>center</w:t>
      </w:r>
      <w:proofErr w:type="spellEnd"/>
      <w:r>
        <w:t xml:space="preserve"> dependency, achieves horizontal scalability through containerized workloads on Kubernetes in the cloud, and strengthens resilience by automating failover t</w:t>
      </w:r>
      <w:r>
        <w:t xml:space="preserve">hrough </w:t>
      </w:r>
      <w:proofErr w:type="spellStart"/>
      <w:r>
        <w:t>CloudWatch</w:t>
      </w:r>
      <w:proofErr w:type="spellEnd"/>
      <w:r>
        <w:t xml:space="preserve"> alarms and Route 53 DNS switching — replacing the previously manual and undocumented recovery procedures.</w:t>
      </w:r>
    </w:p>
    <w:p w:rsidR="002C05A4" w:rsidRDefault="002C05A4">
      <w:pPr>
        <w:pBdr>
          <w:bottom w:val="single" w:sz="6" w:space="1" w:color="2E5597"/>
        </w:pBdr>
        <w:spacing w:before="160" w:after="160"/>
      </w:pPr>
    </w:p>
    <w:p w:rsidR="002C05A4" w:rsidRDefault="008D4603">
      <w:pPr>
        <w:pStyle w:val="Heading1"/>
      </w:pPr>
      <w:r>
        <w:rPr>
          <w:sz w:val="28"/>
          <w:szCs w:val="28"/>
        </w:rPr>
        <w:t xml:space="preserve">2.  Routing and Failover </w:t>
      </w:r>
      <w:proofErr w:type="gramStart"/>
      <w:r>
        <w:rPr>
          <w:sz w:val="28"/>
          <w:szCs w:val="28"/>
        </w:rPr>
        <w:t>Strategy  (</w:t>
      </w:r>
      <w:proofErr w:type="gramEnd"/>
      <w:r>
        <w:rPr>
          <w:sz w:val="28"/>
          <w:szCs w:val="28"/>
        </w:rPr>
        <w:t>4 Points)</w:t>
      </w:r>
    </w:p>
    <w:p w:rsidR="00DA0BE6" w:rsidRDefault="008D4603">
      <w:pPr>
        <w:spacing w:before="80" w:after="160"/>
      </w:pPr>
      <w:r>
        <w:t xml:space="preserve">Global user traffic — from both web and mobile clients — is ingested through </w:t>
      </w:r>
      <w:r>
        <w:rPr>
          <w:b/>
          <w:bCs/>
        </w:rPr>
        <w:t>AWS Glob</w:t>
      </w:r>
      <w:r>
        <w:rPr>
          <w:b/>
          <w:bCs/>
        </w:rPr>
        <w:t>al Accelerator</w:t>
      </w:r>
      <w:r>
        <w:t xml:space="preserve">, which uses </w:t>
      </w:r>
      <w:proofErr w:type="spellStart"/>
      <w:r>
        <w:t>Anycast</w:t>
      </w:r>
      <w:proofErr w:type="spellEnd"/>
      <w:r>
        <w:t xml:space="preserve"> routing to direct requests to the nearest healthy AWS edge endpoint. </w:t>
      </w:r>
      <w:proofErr w:type="spellStart"/>
      <w:r>
        <w:t>CloudFront</w:t>
      </w:r>
      <w:proofErr w:type="spellEnd"/>
      <w:r>
        <w:t xml:space="preserve"> CDN </w:t>
      </w:r>
      <w:proofErr w:type="spellStart"/>
      <w:r>
        <w:t>PoPs</w:t>
      </w:r>
      <w:proofErr w:type="spellEnd"/>
      <w:r>
        <w:t xml:space="preserve"> (Points of Presence) distributed across the United States and Europe serve static and cacheable content, minimizing latency for end </w:t>
      </w:r>
      <w:r>
        <w:t xml:space="preserve">users during peak demand. Dynamic application traffic </w:t>
      </w:r>
      <w:proofErr w:type="gramStart"/>
      <w:r>
        <w:t>is forwarded</w:t>
      </w:r>
      <w:proofErr w:type="gramEnd"/>
      <w:r>
        <w:t xml:space="preserve"> to an Application Load Balancer in us-east-1, which distributes load across EKS-hosted </w:t>
      </w:r>
      <w:proofErr w:type="spellStart"/>
      <w:r>
        <w:t>microservices</w:t>
      </w:r>
      <w:proofErr w:type="spellEnd"/>
      <w:r>
        <w:t xml:space="preserve"> spanning two Availability Zones. </w:t>
      </w:r>
    </w:p>
    <w:p w:rsidR="00DA0BE6" w:rsidRDefault="008D4603">
      <w:pPr>
        <w:spacing w:before="80" w:after="160"/>
      </w:pPr>
      <w:r>
        <w:rPr>
          <w:b/>
          <w:bCs/>
        </w:rPr>
        <w:t>Amazon Route 53</w:t>
      </w:r>
      <w:r>
        <w:t xml:space="preserve"> provides DNS-based failover with active</w:t>
      </w:r>
      <w:r>
        <w:t xml:space="preserve"> health checks executed every thirty seconds against the on-premises primary environment. Should health checks detect a primary site failure, Route 53 automatically updates DNS records to redirect traffic to the AWS warm standby environment, initiating the</w:t>
      </w:r>
      <w:r>
        <w:t xml:space="preserve"> failover with no manual intervention required. </w:t>
      </w:r>
    </w:p>
    <w:p w:rsidR="002C05A4" w:rsidRDefault="008D4603">
      <w:pPr>
        <w:spacing w:before="80" w:after="160"/>
      </w:pPr>
      <w:r>
        <w:t>Azure Front Door serves European analytics traffic to the Azure West Europe region, enforcing EU data residency. This automated routing and failover design directly supports the recovery targets: the sub-fift</w:t>
      </w:r>
      <w:r>
        <w:t xml:space="preserve">een-minute RPO </w:t>
      </w:r>
      <w:proofErr w:type="gramStart"/>
      <w:r>
        <w:t>is met</w:t>
      </w:r>
      <w:proofErr w:type="gramEnd"/>
      <w:r>
        <w:t xml:space="preserve"> through continuous asynchronous database replication, and the sub-four-</w:t>
      </w:r>
      <w:r>
        <w:lastRenderedPageBreak/>
        <w:t>hour RTO is met through pre-provisioned warm standby infrastructure that requires only DNS propagation and service validation to activate.</w:t>
      </w:r>
    </w:p>
    <w:p w:rsidR="002C05A4" w:rsidRDefault="002C05A4">
      <w:pPr>
        <w:pBdr>
          <w:bottom w:val="single" w:sz="6" w:space="1" w:color="2E5597"/>
        </w:pBdr>
        <w:spacing w:before="160" w:after="160"/>
      </w:pPr>
    </w:p>
    <w:p w:rsidR="002C05A4" w:rsidRDefault="008D4603">
      <w:pPr>
        <w:pStyle w:val="Heading1"/>
      </w:pPr>
      <w:r>
        <w:rPr>
          <w:sz w:val="28"/>
          <w:szCs w:val="28"/>
        </w:rPr>
        <w:t xml:space="preserve">3.  Data Placement and </w:t>
      </w:r>
      <w:r>
        <w:rPr>
          <w:sz w:val="28"/>
          <w:szCs w:val="28"/>
        </w:rPr>
        <w:t xml:space="preserve">Replication </w:t>
      </w:r>
      <w:proofErr w:type="gramStart"/>
      <w:r>
        <w:rPr>
          <w:sz w:val="28"/>
          <w:szCs w:val="28"/>
        </w:rPr>
        <w:t>Strategy  (</w:t>
      </w:r>
      <w:proofErr w:type="gramEnd"/>
      <w:r>
        <w:rPr>
          <w:sz w:val="28"/>
          <w:szCs w:val="28"/>
        </w:rPr>
        <w:t>4 Points)</w:t>
      </w:r>
    </w:p>
    <w:p w:rsidR="00DA0BE6" w:rsidRDefault="008D4603">
      <w:pPr>
        <w:spacing w:before="80" w:after="160"/>
      </w:pPr>
      <w:r>
        <w:t>Data placement follows a sovereignty-first model. All primary transactional data — customer PII, order records, and financial transactions — resides exclusively on-premises within the HSM-protected, PCI-DSS-compliant databa</w:t>
      </w:r>
      <w:r>
        <w:t xml:space="preserve">se cluster. </w:t>
      </w:r>
    </w:p>
    <w:p w:rsidR="00DA0BE6" w:rsidRDefault="008D4603">
      <w:pPr>
        <w:spacing w:before="80" w:after="160"/>
      </w:pPr>
      <w:r>
        <w:rPr>
          <w:b/>
          <w:bCs/>
        </w:rPr>
        <w:t>Asynchronous replication</w:t>
      </w:r>
      <w:r>
        <w:t xml:space="preserve"> continuously streams changed data from the on-premises primary to an Amazon RDS Aurora warm standby replica in AWS us-east-1, maintaining an RPO of under fifteen minutes. This replication uses AWS Database Migration Ser</w:t>
      </w:r>
      <w:r>
        <w:t>vice (DMS) over a dedicated Direct Connect private link, ensuring data in transit never traverses the public internet. For European customers, transactional replicas and analytics data are maintained within AWS eu-west-1 and Azure West Europe respectively,</w:t>
      </w:r>
      <w:r>
        <w:t xml:space="preserve"> satisfying GDPR data residency requirements. </w:t>
      </w:r>
    </w:p>
    <w:p w:rsidR="002C05A4" w:rsidRDefault="008D4603">
      <w:pPr>
        <w:spacing w:before="80" w:after="160"/>
      </w:pPr>
      <w:r>
        <w:t>Analytics workloads ingest anonymized and aggregated operational data into Azure Data Lake Gen2 via asynchronous ADF pipelines, decoupling analytics compute from production transactional systems. Nightly encryp</w:t>
      </w:r>
      <w:r>
        <w:t xml:space="preserve">ted backups are written to AWS S3 with cross-region replication to both us-east-1 and eu-west-1, and mirrored to Azure Blob Storage for geo-redundancy. Backup integrity </w:t>
      </w:r>
      <w:proofErr w:type="gramStart"/>
      <w:r>
        <w:t>is validated</w:t>
      </w:r>
      <w:proofErr w:type="gramEnd"/>
      <w:r>
        <w:t xml:space="preserve"> monthly through automated restore testing, replacing the previously undocu</w:t>
      </w:r>
      <w:r>
        <w:t>mented and infrequently tested manual backup process.</w:t>
      </w:r>
    </w:p>
    <w:p w:rsidR="002C05A4" w:rsidRDefault="002C05A4">
      <w:pPr>
        <w:pBdr>
          <w:bottom w:val="single" w:sz="6" w:space="1" w:color="2E5597"/>
        </w:pBdr>
        <w:spacing w:before="160" w:after="160"/>
      </w:pPr>
    </w:p>
    <w:p w:rsidR="002C05A4" w:rsidRDefault="008D4603">
      <w:pPr>
        <w:pStyle w:val="Heading1"/>
      </w:pPr>
      <w:r>
        <w:rPr>
          <w:sz w:val="28"/>
          <w:szCs w:val="28"/>
        </w:rPr>
        <w:t xml:space="preserve">4.  Architecture </w:t>
      </w:r>
      <w:proofErr w:type="gramStart"/>
      <w:r>
        <w:rPr>
          <w:sz w:val="28"/>
          <w:szCs w:val="28"/>
        </w:rPr>
        <w:t>Diagram  (</w:t>
      </w:r>
      <w:proofErr w:type="gramEnd"/>
      <w:r>
        <w:rPr>
          <w:sz w:val="28"/>
          <w:szCs w:val="28"/>
        </w:rPr>
        <w:t>4 Points)</w:t>
      </w:r>
    </w:p>
    <w:p w:rsidR="002C05A4" w:rsidRDefault="008D4603">
      <w:pPr>
        <w:spacing w:before="80" w:after="80"/>
      </w:pPr>
      <w:r>
        <w:t xml:space="preserve">The diagram below presents the complete future-state hybrid </w:t>
      </w:r>
      <w:proofErr w:type="spellStart"/>
      <w:r>
        <w:t>multicloud</w:t>
      </w:r>
      <w:proofErr w:type="spellEnd"/>
      <w:r>
        <w:t xml:space="preserve"> architecture. It includes all required elements: on-premises transactional systems, AWS and A</w:t>
      </w:r>
      <w:r>
        <w:t>zure cloud environments with multiple regions and Availability Zones, global routing components, data replication paths, failover directions, and a legend.</w:t>
      </w:r>
    </w:p>
    <w:p w:rsidR="002C05A4" w:rsidRDefault="002C05A4">
      <w:pPr>
        <w:spacing w:before="80" w:after="80"/>
      </w:pPr>
    </w:p>
    <w:p w:rsidR="002C05A4" w:rsidRDefault="008D4603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600075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A4" w:rsidRDefault="008D4603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1: Hybrid / Multi-Cloud Future-State Architecture — Global Retail Enterprise</w:t>
      </w:r>
    </w:p>
    <w:p w:rsidR="002C05A4" w:rsidRDefault="002C05A4">
      <w:pPr>
        <w:pBdr>
          <w:bottom w:val="single" w:sz="6" w:space="1" w:color="2E5597"/>
        </w:pBdr>
        <w:spacing w:before="160" w:after="160"/>
      </w:pPr>
    </w:p>
    <w:p w:rsidR="002C05A4" w:rsidRDefault="008D4603">
      <w:pPr>
        <w:pStyle w:val="Heading1"/>
      </w:pPr>
      <w:r>
        <w:rPr>
          <w:sz w:val="28"/>
          <w:szCs w:val="28"/>
        </w:rPr>
        <w:t>5.  Justific</w:t>
      </w:r>
      <w:r>
        <w:rPr>
          <w:sz w:val="28"/>
          <w:szCs w:val="28"/>
        </w:rPr>
        <w:t xml:space="preserve">ation and Documentation </w:t>
      </w:r>
      <w:proofErr w:type="gramStart"/>
      <w:r>
        <w:rPr>
          <w:sz w:val="28"/>
          <w:szCs w:val="28"/>
        </w:rPr>
        <w:t>Clarity  (</w:t>
      </w:r>
      <w:proofErr w:type="gramEnd"/>
      <w:r>
        <w:rPr>
          <w:sz w:val="28"/>
          <w:szCs w:val="28"/>
        </w:rPr>
        <w:t>3 Points)</w:t>
      </w:r>
    </w:p>
    <w:p w:rsidR="008D4603" w:rsidRDefault="008D4603">
      <w:pPr>
        <w:spacing w:before="80" w:after="160"/>
      </w:pPr>
      <w:r>
        <w:t xml:space="preserve">The proposed architecture directly resolves each of the five critical weaknesses identified in the current single-region design. </w:t>
      </w:r>
    </w:p>
    <w:p w:rsidR="008D4603" w:rsidRDefault="008D4603">
      <w:pPr>
        <w:spacing w:before="80" w:after="160"/>
      </w:pPr>
      <w:r>
        <w:t xml:space="preserve">The </w:t>
      </w:r>
      <w:r>
        <w:rPr>
          <w:b/>
          <w:bCs/>
        </w:rPr>
        <w:t xml:space="preserve">single data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dependency</w:t>
      </w:r>
      <w:r>
        <w:t xml:space="preserve"> </w:t>
      </w:r>
      <w:proofErr w:type="gramStart"/>
      <w:r>
        <w:t>is eliminated</w:t>
      </w:r>
      <w:proofErr w:type="gramEnd"/>
      <w:r>
        <w:t xml:space="preserve"> by distributing workloads across on</w:t>
      </w:r>
      <w:r>
        <w:t xml:space="preserve">-premises infrastructure, AWS, and Azure, removing any single point of failure. </w:t>
      </w:r>
    </w:p>
    <w:p w:rsidR="008D4603" w:rsidRDefault="008D4603">
      <w:pPr>
        <w:spacing w:before="80" w:after="160"/>
      </w:pPr>
      <w:r>
        <w:rPr>
          <w:b/>
          <w:bCs/>
        </w:rPr>
        <w:t>Scalability limitations</w:t>
      </w:r>
      <w:r>
        <w:t xml:space="preserve"> </w:t>
      </w:r>
      <w:proofErr w:type="gramStart"/>
      <w:r>
        <w:t>are addressed</w:t>
      </w:r>
      <w:proofErr w:type="gramEnd"/>
      <w:r>
        <w:t xml:space="preserve"> by containerizing e-commerce workloads on Kubernetes with Auto Scaling Groups in AWS, enabling elastic capacity expansion during seasonal </w:t>
      </w:r>
      <w:r>
        <w:t xml:space="preserve">peaks without manual hardware provisioning cycles. </w:t>
      </w:r>
    </w:p>
    <w:p w:rsidR="008D4603" w:rsidRDefault="008D4603">
      <w:pPr>
        <w:spacing w:before="80" w:after="160"/>
      </w:pPr>
      <w:r>
        <w:rPr>
          <w:b/>
          <w:bCs/>
        </w:rPr>
        <w:t>Insufficient disaster recovery</w:t>
      </w:r>
      <w:r>
        <w:t xml:space="preserve"> </w:t>
      </w:r>
      <w:proofErr w:type="gramStart"/>
      <w:r>
        <w:t>is replaced</w:t>
      </w:r>
      <w:proofErr w:type="gramEnd"/>
      <w:r>
        <w:t xml:space="preserve"> by automated failover orchestrated through Route 53 health checks and </w:t>
      </w:r>
      <w:proofErr w:type="spellStart"/>
      <w:r>
        <w:t>CloudWatch</w:t>
      </w:r>
      <w:proofErr w:type="spellEnd"/>
      <w:r>
        <w:t xml:space="preserve"> alarms, with asynchronous replication guaranteeing RPO under fifteen minutes and </w:t>
      </w:r>
      <w:r>
        <w:t xml:space="preserve">warm standby infrastructure guaranteeing RTO under four hours — meeting leadership's explicit targets. </w:t>
      </w:r>
    </w:p>
    <w:p w:rsidR="008D4603" w:rsidRDefault="008D4603">
      <w:pPr>
        <w:spacing w:before="80" w:after="160"/>
      </w:pPr>
      <w:r>
        <w:rPr>
          <w:b/>
          <w:bCs/>
        </w:rPr>
        <w:t>Platform lock-in</w:t>
      </w:r>
      <w:r>
        <w:t xml:space="preserve"> </w:t>
      </w:r>
      <w:proofErr w:type="gramStart"/>
      <w:r>
        <w:t>is mitigated</w:t>
      </w:r>
      <w:proofErr w:type="gramEnd"/>
      <w:r>
        <w:t xml:space="preserve"> through containerized, portable workloads deployable across on-premises Kubernetes and cloud EKS/AKS clusters. </w:t>
      </w:r>
    </w:p>
    <w:p w:rsidR="002C05A4" w:rsidRDefault="008D4603">
      <w:pPr>
        <w:spacing w:before="80" w:after="160"/>
      </w:pPr>
      <w:bookmarkStart w:id="0" w:name="_GoBack"/>
      <w:bookmarkEnd w:id="0"/>
      <w:r>
        <w:rPr>
          <w:b/>
          <w:bCs/>
        </w:rPr>
        <w:t>Governance g</w:t>
      </w:r>
      <w:r>
        <w:rPr>
          <w:b/>
          <w:bCs/>
        </w:rPr>
        <w:t>aps</w:t>
      </w:r>
      <w:r>
        <w:t xml:space="preserve"> </w:t>
      </w:r>
      <w:proofErr w:type="gramStart"/>
      <w:r>
        <w:t>are closed</w:t>
      </w:r>
      <w:proofErr w:type="gramEnd"/>
      <w:r>
        <w:t xml:space="preserve"> through Terraform </w:t>
      </w:r>
      <w:proofErr w:type="spellStart"/>
      <w:r>
        <w:t>IaC</w:t>
      </w:r>
      <w:proofErr w:type="spellEnd"/>
      <w:r>
        <w:t xml:space="preserve">, AWS SCPs, Azure Policy-as-Code, and OPA guardrails that enforce data placement, recovery, and availability policies consistently and automatically. Together, these design choices transform an operationally fragile, </w:t>
      </w:r>
      <w:proofErr w:type="gramStart"/>
      <w:r>
        <w:t>ver</w:t>
      </w:r>
      <w:r>
        <w:t>tically-scaled</w:t>
      </w:r>
      <w:proofErr w:type="gramEnd"/>
      <w:r>
        <w:t xml:space="preserve"> monolith into a resilient, globally scalable, and governed hybrid </w:t>
      </w:r>
      <w:proofErr w:type="spellStart"/>
      <w:r>
        <w:t>multicloud</w:t>
      </w:r>
      <w:proofErr w:type="spellEnd"/>
      <w:r>
        <w:t xml:space="preserve"> platform aligned to the organization's growth and compliance objectives.</w:t>
      </w:r>
    </w:p>
    <w:sectPr w:rsidR="002C05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15691"/>
    <w:multiLevelType w:val="hybridMultilevel"/>
    <w:tmpl w:val="70B2EE02"/>
    <w:lvl w:ilvl="0" w:tplc="5720CA28">
      <w:start w:val="1"/>
      <w:numFmt w:val="bullet"/>
      <w:lvlText w:val="●"/>
      <w:lvlJc w:val="left"/>
      <w:pPr>
        <w:ind w:left="720" w:hanging="360"/>
      </w:pPr>
    </w:lvl>
    <w:lvl w:ilvl="1" w:tplc="06184524">
      <w:start w:val="1"/>
      <w:numFmt w:val="bullet"/>
      <w:lvlText w:val="○"/>
      <w:lvlJc w:val="left"/>
      <w:pPr>
        <w:ind w:left="1440" w:hanging="360"/>
      </w:pPr>
    </w:lvl>
    <w:lvl w:ilvl="2" w:tplc="C5EEF76A">
      <w:start w:val="1"/>
      <w:numFmt w:val="bullet"/>
      <w:lvlText w:val="■"/>
      <w:lvlJc w:val="left"/>
      <w:pPr>
        <w:ind w:left="2160" w:hanging="360"/>
      </w:pPr>
    </w:lvl>
    <w:lvl w:ilvl="3" w:tplc="54F48BFA">
      <w:start w:val="1"/>
      <w:numFmt w:val="bullet"/>
      <w:lvlText w:val="●"/>
      <w:lvlJc w:val="left"/>
      <w:pPr>
        <w:ind w:left="2880" w:hanging="360"/>
      </w:pPr>
    </w:lvl>
    <w:lvl w:ilvl="4" w:tplc="90F6D8C2">
      <w:start w:val="1"/>
      <w:numFmt w:val="bullet"/>
      <w:lvlText w:val="○"/>
      <w:lvlJc w:val="left"/>
      <w:pPr>
        <w:ind w:left="3600" w:hanging="360"/>
      </w:pPr>
    </w:lvl>
    <w:lvl w:ilvl="5" w:tplc="37A2A372">
      <w:start w:val="1"/>
      <w:numFmt w:val="bullet"/>
      <w:lvlText w:val="■"/>
      <w:lvlJc w:val="left"/>
      <w:pPr>
        <w:ind w:left="4320" w:hanging="360"/>
      </w:pPr>
    </w:lvl>
    <w:lvl w:ilvl="6" w:tplc="C1380AC8">
      <w:start w:val="1"/>
      <w:numFmt w:val="bullet"/>
      <w:lvlText w:val="●"/>
      <w:lvlJc w:val="left"/>
      <w:pPr>
        <w:ind w:left="5040" w:hanging="360"/>
      </w:pPr>
    </w:lvl>
    <w:lvl w:ilvl="7" w:tplc="1F5ED47A">
      <w:start w:val="1"/>
      <w:numFmt w:val="bullet"/>
      <w:lvlText w:val="●"/>
      <w:lvlJc w:val="left"/>
      <w:pPr>
        <w:ind w:left="5760" w:hanging="360"/>
      </w:pPr>
    </w:lvl>
    <w:lvl w:ilvl="8" w:tplc="CC80C5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B14B89"/>
    <w:multiLevelType w:val="hybridMultilevel"/>
    <w:tmpl w:val="0554D3E8"/>
    <w:lvl w:ilvl="0" w:tplc="08CA9124">
      <w:start w:val="1"/>
      <w:numFmt w:val="bullet"/>
      <w:lvlText w:val="•"/>
      <w:lvlJc w:val="left"/>
      <w:pPr>
        <w:ind w:left="720" w:hanging="360"/>
      </w:pPr>
    </w:lvl>
    <w:lvl w:ilvl="1" w:tplc="AA1C8F66">
      <w:start w:val="1"/>
      <w:numFmt w:val="bullet"/>
      <w:lvlText w:val="◦"/>
      <w:lvlJc w:val="left"/>
      <w:pPr>
        <w:ind w:left="1080" w:hanging="360"/>
      </w:pPr>
    </w:lvl>
    <w:lvl w:ilvl="2" w:tplc="AAAADFCE">
      <w:numFmt w:val="decimal"/>
      <w:lvlText w:val=""/>
      <w:lvlJc w:val="left"/>
    </w:lvl>
    <w:lvl w:ilvl="3" w:tplc="8C309EE0">
      <w:numFmt w:val="decimal"/>
      <w:lvlText w:val=""/>
      <w:lvlJc w:val="left"/>
    </w:lvl>
    <w:lvl w:ilvl="4" w:tplc="7A0CA368">
      <w:numFmt w:val="decimal"/>
      <w:lvlText w:val=""/>
      <w:lvlJc w:val="left"/>
    </w:lvl>
    <w:lvl w:ilvl="5" w:tplc="3B06BE76">
      <w:numFmt w:val="decimal"/>
      <w:lvlText w:val=""/>
      <w:lvlJc w:val="left"/>
    </w:lvl>
    <w:lvl w:ilvl="6" w:tplc="647EC2D8">
      <w:numFmt w:val="decimal"/>
      <w:lvlText w:val=""/>
      <w:lvlJc w:val="left"/>
    </w:lvl>
    <w:lvl w:ilvl="7" w:tplc="8F02BE38">
      <w:numFmt w:val="decimal"/>
      <w:lvlText w:val=""/>
      <w:lvlJc w:val="left"/>
    </w:lvl>
    <w:lvl w:ilvl="8" w:tplc="0010A6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5A4"/>
    <w:rsid w:val="00160E79"/>
    <w:rsid w:val="002C05A4"/>
    <w:rsid w:val="008D4603"/>
    <w:rsid w:val="00DA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D1D7"/>
  <w15:docId w15:val="{F10CFA28-3785-4877-A4EA-094D085D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</cp:lastModifiedBy>
  <cp:revision>4</cp:revision>
  <dcterms:created xsi:type="dcterms:W3CDTF">2026-03-03T08:52:00Z</dcterms:created>
  <dcterms:modified xsi:type="dcterms:W3CDTF">2026-03-03T08:57:00Z</dcterms:modified>
</cp:coreProperties>
</file>