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13B" w:rsidRDefault="00F12686">
      <w:pPr>
        <w:spacing w:before="240" w:after="80"/>
      </w:pPr>
      <w:r>
        <w:rPr>
          <w:b/>
          <w:bCs/>
          <w:color w:val="1F3864"/>
          <w:sz w:val="44"/>
          <w:szCs w:val="44"/>
        </w:rPr>
        <w:t>Stakeholder and Requirements Document</w:t>
      </w:r>
    </w:p>
    <w:p w:rsidR="0070113B" w:rsidRDefault="00F12686">
      <w:pPr>
        <w:spacing w:after="80"/>
      </w:pPr>
      <w:r>
        <w:rPr>
          <w:b/>
          <w:bCs/>
          <w:color w:val="2E75B6"/>
          <w:sz w:val="32"/>
          <w:szCs w:val="32"/>
        </w:rPr>
        <w:t>Global Retail Platform — Hybrid Cloud Modernization</w:t>
      </w:r>
    </w:p>
    <w:p w:rsidR="0070113B" w:rsidRDefault="00F12686">
      <w:pPr>
        <w:pBdr>
          <w:bottom w:val="single" w:sz="8" w:space="4" w:color="2E75B6"/>
        </w:pBdr>
        <w:spacing w:after="240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  |</w:t>
      </w:r>
      <w:proofErr w:type="gramEnd"/>
      <w:r>
        <w:rPr>
          <w:color w:val="888888"/>
          <w:sz w:val="20"/>
          <w:szCs w:val="20"/>
        </w:rPr>
        <w:t xml:space="preserve">  Architecture Initiative  |  March 30, 2026</w:t>
      </w:r>
    </w:p>
    <w:p w:rsidR="0070113B" w:rsidRDefault="00F12686">
      <w:pPr>
        <w:pStyle w:val="Heading1"/>
        <w:spacing w:before="360"/>
      </w:pPr>
      <w:r>
        <w:t>1.  Introduction</w:t>
      </w:r>
    </w:p>
    <w:p w:rsidR="0070113B" w:rsidRDefault="00F12686">
      <w:pPr>
        <w:spacing w:after="160"/>
      </w:pPr>
      <w:r>
        <w:rPr>
          <w:color w:val="333333"/>
        </w:rPr>
        <w:t xml:space="preserve">This document captures the key stakeholders, functional requirements, and non-functional requirements for the global retail platform's </w:t>
      </w:r>
      <w:proofErr w:type="gramStart"/>
      <w:r>
        <w:rPr>
          <w:color w:val="333333"/>
        </w:rPr>
        <w:t>hybrid cloud modernization initiative</w:t>
      </w:r>
      <w:proofErr w:type="gramEnd"/>
      <w:r>
        <w:rPr>
          <w:color w:val="333333"/>
        </w:rPr>
        <w:t>. The organization currently operates tightly coupled monolithic applications hosted</w:t>
      </w:r>
      <w:r>
        <w:rPr>
          <w:color w:val="333333"/>
        </w:rPr>
        <w:t xml:space="preserve"> in on-premises data </w:t>
      </w:r>
      <w:proofErr w:type="spellStart"/>
      <w:r>
        <w:rPr>
          <w:color w:val="333333"/>
        </w:rPr>
        <w:t>centers</w:t>
      </w:r>
      <w:proofErr w:type="spellEnd"/>
      <w:r>
        <w:rPr>
          <w:color w:val="333333"/>
        </w:rPr>
        <w:t>. As the business expands into new markets, this architecture is limiting scalability, feature delivery velocity, and operational visibility.</w:t>
      </w:r>
    </w:p>
    <w:p w:rsidR="0070113B" w:rsidRDefault="00F12686">
      <w:pPr>
        <w:spacing w:after="160"/>
      </w:pPr>
      <w:r>
        <w:rPr>
          <w:color w:val="333333"/>
        </w:rPr>
        <w:t>The purpose of this document is to establish a shared understanding of business object</w:t>
      </w:r>
      <w:r>
        <w:rPr>
          <w:color w:val="333333"/>
        </w:rPr>
        <w:t xml:space="preserve">ives, risks, and system expectations before any architectural decisions </w:t>
      </w:r>
      <w:proofErr w:type="gramStart"/>
      <w:r>
        <w:rPr>
          <w:color w:val="333333"/>
        </w:rPr>
        <w:t>are made</w:t>
      </w:r>
      <w:proofErr w:type="gramEnd"/>
      <w:r>
        <w:rPr>
          <w:color w:val="333333"/>
        </w:rPr>
        <w:t xml:space="preserve">. It </w:t>
      </w:r>
      <w:proofErr w:type="gramStart"/>
      <w:r>
        <w:rPr>
          <w:color w:val="333333"/>
        </w:rPr>
        <w:t>is intended</w:t>
      </w:r>
      <w:proofErr w:type="gramEnd"/>
      <w:r>
        <w:rPr>
          <w:color w:val="333333"/>
        </w:rPr>
        <w:t xml:space="preserve"> for use by the architecture and engineering teams as the foundation for system design, service decomposition, and infrastructure trade-off analysis throughout </w:t>
      </w:r>
      <w:r>
        <w:rPr>
          <w:color w:val="333333"/>
        </w:rPr>
        <w:t>the modernization program.</w:t>
      </w:r>
    </w:p>
    <w:p w:rsidR="0070113B" w:rsidRDefault="0070113B">
      <w:pPr>
        <w:spacing w:after="120"/>
      </w:pPr>
    </w:p>
    <w:p w:rsidR="0070113B" w:rsidRDefault="00F12686">
      <w:pPr>
        <w:pStyle w:val="Heading1"/>
        <w:spacing w:before="360"/>
      </w:pPr>
      <w:r>
        <w:t>2.  Stakeholder Register</w:t>
      </w:r>
    </w:p>
    <w:p w:rsidR="0070113B" w:rsidRDefault="00F12686">
      <w:pPr>
        <w:spacing w:after="160"/>
      </w:pPr>
      <w:r>
        <w:rPr>
          <w:color w:val="333333"/>
        </w:rPr>
        <w:t xml:space="preserve">The following stakeholders </w:t>
      </w:r>
      <w:proofErr w:type="gramStart"/>
      <w:r>
        <w:rPr>
          <w:color w:val="333333"/>
        </w:rPr>
        <w:t>have been identified</w:t>
      </w:r>
      <w:proofErr w:type="gramEnd"/>
      <w:r>
        <w:rPr>
          <w:color w:val="333333"/>
        </w:rPr>
        <w:t xml:space="preserve"> as directly affected by, or accountable for outcomes of, the modernization initiative. Understanding each stakeholder's business objective and primary conc</w:t>
      </w:r>
      <w:r>
        <w:rPr>
          <w:color w:val="333333"/>
        </w:rPr>
        <w:t>ern ensures that architectural decisions remain aligned with operational needs and business priorities.</w:t>
      </w:r>
    </w:p>
    <w:p w:rsidR="0070113B" w:rsidRDefault="0070113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160"/>
      </w:tblGrid>
      <w:tr w:rsidR="007011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b/>
                <w:bCs/>
                <w:color w:val="FFFFFF"/>
                <w:sz w:val="20"/>
                <w:szCs w:val="20"/>
              </w:rPr>
              <w:t>Stakeholder Role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b/>
                <w:bCs/>
                <w:color w:val="FFFFFF"/>
                <w:sz w:val="20"/>
                <w:szCs w:val="20"/>
              </w:rPr>
              <w:t>Business Objective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b/>
                <w:bCs/>
                <w:color w:val="FFFFFF"/>
                <w:sz w:val="20"/>
                <w:szCs w:val="20"/>
              </w:rPr>
              <w:t>Key Concern / Risk</w:t>
            </w:r>
          </w:p>
        </w:tc>
      </w:tr>
      <w:tr w:rsidR="0070113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VP, E-Commerce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Maximize online revenue during peak seasons through a stable and high-performing checkout experience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System downtime or latency spikes during high-traffic events such as Black Friday cause direct revenue loss and customer churn</w:t>
            </w:r>
          </w:p>
        </w:tc>
      </w:tr>
      <w:tr w:rsidR="0070113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Chief Technology Officer (CTO)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Deliver a scalable, cloud-native architecture that enables rapid feature deployment and long-term platform sustainability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Modernization introduces integration complexity, migration risk, and potential disruption to existing b</w:t>
            </w:r>
            <w:r>
              <w:rPr>
                <w:color w:val="000000"/>
                <w:sz w:val="20"/>
                <w:szCs w:val="20"/>
              </w:rPr>
              <w:t>usiness operations</w:t>
            </w:r>
          </w:p>
        </w:tc>
      </w:tr>
      <w:tr w:rsidR="0070113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Head of Supply Chain Operations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Maintain accurate, real-time inventory visibility across all warehouses and distribution nodes globally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 xml:space="preserve">Inconsistent or delayed inventory data leads to overselling, </w:t>
            </w:r>
            <w:proofErr w:type="spellStart"/>
            <w:r>
              <w:rPr>
                <w:color w:val="000000"/>
                <w:sz w:val="20"/>
                <w:szCs w:val="20"/>
              </w:rPr>
              <w:t>fulfillment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failures, and increased operational costs</w:t>
            </w:r>
          </w:p>
        </w:tc>
      </w:tr>
      <w:tr w:rsidR="0070113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Security and Compliance Director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Ensure all platform components comply with regional data residency regulations, encryption standards, and access control policies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Migration to hybrid cloud may expose sensitive customer and transaction data if security controls are not enforced from the ou</w:t>
            </w:r>
            <w:r>
              <w:rPr>
                <w:color w:val="000000"/>
                <w:sz w:val="20"/>
                <w:szCs w:val="20"/>
              </w:rPr>
              <w:t>tset</w:t>
            </w:r>
          </w:p>
        </w:tc>
      </w:tr>
      <w:tr w:rsidR="0070113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lastRenderedPageBreak/>
              <w:t>DevOps Engineering Lead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Establish automated CI/CD pipelines and infrastructure-as-code practices that enable reliable, repeatable deployments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0113B" w:rsidRDefault="00F12686">
            <w:r>
              <w:rPr>
                <w:color w:val="000000"/>
                <w:sz w:val="20"/>
                <w:szCs w:val="20"/>
              </w:rPr>
              <w:t>The current monolithic release process creates deployment bottlenecks, manual intervention risk, and slow mean time to recovery (MTTR)</w:t>
            </w:r>
          </w:p>
        </w:tc>
      </w:tr>
    </w:tbl>
    <w:p w:rsidR="0070113B" w:rsidRDefault="0070113B">
      <w:pPr>
        <w:spacing w:after="120"/>
      </w:pPr>
      <w:bookmarkStart w:id="0" w:name="_GoBack"/>
      <w:bookmarkEnd w:id="0"/>
    </w:p>
    <w:sectPr w:rsidR="0070113B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686" w:rsidRDefault="00F12686">
      <w:r>
        <w:separator/>
      </w:r>
    </w:p>
  </w:endnote>
  <w:endnote w:type="continuationSeparator" w:id="0">
    <w:p w:rsidR="00F12686" w:rsidRDefault="00F12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13B" w:rsidRDefault="00F12686">
    <w:pPr>
      <w:pBdr>
        <w:top w:val="single" w:sz="6" w:space="1" w:color="2E75B6"/>
      </w:pBdr>
      <w:spacing w:before="120"/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9D0BCF">
      <w:rPr>
        <w:color w:val="666666"/>
        <w:sz w:val="18"/>
        <w:szCs w:val="18"/>
      </w:rPr>
      <w:fldChar w:fldCharType="separate"/>
    </w:r>
    <w:r w:rsidR="00CA605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9D0BCF">
      <w:rPr>
        <w:color w:val="666666"/>
        <w:sz w:val="18"/>
        <w:szCs w:val="18"/>
      </w:rPr>
      <w:fldChar w:fldCharType="separate"/>
    </w:r>
    <w:r w:rsidR="00CA605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686" w:rsidRDefault="00F12686">
      <w:r>
        <w:separator/>
      </w:r>
    </w:p>
  </w:footnote>
  <w:footnote w:type="continuationSeparator" w:id="0">
    <w:p w:rsidR="00F12686" w:rsidRDefault="00F12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13B" w:rsidRDefault="00F12686">
    <w:pPr>
      <w:pBdr>
        <w:bottom w:val="single" w:sz="6" w:space="1" w:color="2E75B6"/>
      </w:pBdr>
      <w:spacing w:after="120"/>
    </w:pPr>
    <w:r>
      <w:rPr>
        <w:color w:val="666666"/>
        <w:sz w:val="18"/>
        <w:szCs w:val="18"/>
      </w:rPr>
      <w:t xml:space="preserve">Stakeholder and Requirements </w:t>
    </w:r>
    <w:proofErr w:type="gramStart"/>
    <w:r>
      <w:rPr>
        <w:color w:val="666666"/>
        <w:sz w:val="18"/>
        <w:szCs w:val="18"/>
      </w:rPr>
      <w:t>Document  |</w:t>
    </w:r>
    <w:proofErr w:type="gramEnd"/>
    <w:r>
      <w:rPr>
        <w:color w:val="666666"/>
        <w:sz w:val="18"/>
        <w:szCs w:val="18"/>
      </w:rPr>
      <w:t xml:space="preserve">  Global Retail Platform Hybrid Cloud Modernization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59E4"/>
    <w:multiLevelType w:val="hybridMultilevel"/>
    <w:tmpl w:val="884C4B46"/>
    <w:lvl w:ilvl="0" w:tplc="313E8F3A">
      <w:start w:val="1"/>
      <w:numFmt w:val="bullet"/>
      <w:lvlText w:val="●"/>
      <w:lvlJc w:val="left"/>
      <w:pPr>
        <w:ind w:left="720" w:hanging="360"/>
      </w:pPr>
    </w:lvl>
    <w:lvl w:ilvl="1" w:tplc="3FA4D4C4">
      <w:start w:val="1"/>
      <w:numFmt w:val="bullet"/>
      <w:lvlText w:val="○"/>
      <w:lvlJc w:val="left"/>
      <w:pPr>
        <w:ind w:left="1440" w:hanging="360"/>
      </w:pPr>
    </w:lvl>
    <w:lvl w:ilvl="2" w:tplc="E4C84C40">
      <w:start w:val="1"/>
      <w:numFmt w:val="bullet"/>
      <w:lvlText w:val="■"/>
      <w:lvlJc w:val="left"/>
      <w:pPr>
        <w:ind w:left="2160" w:hanging="360"/>
      </w:pPr>
    </w:lvl>
    <w:lvl w:ilvl="3" w:tplc="85A4871C">
      <w:start w:val="1"/>
      <w:numFmt w:val="bullet"/>
      <w:lvlText w:val="●"/>
      <w:lvlJc w:val="left"/>
      <w:pPr>
        <w:ind w:left="2880" w:hanging="360"/>
      </w:pPr>
    </w:lvl>
    <w:lvl w:ilvl="4" w:tplc="DA6AD6E2">
      <w:start w:val="1"/>
      <w:numFmt w:val="bullet"/>
      <w:lvlText w:val="○"/>
      <w:lvlJc w:val="left"/>
      <w:pPr>
        <w:ind w:left="3600" w:hanging="360"/>
      </w:pPr>
    </w:lvl>
    <w:lvl w:ilvl="5" w:tplc="4E42B90C">
      <w:start w:val="1"/>
      <w:numFmt w:val="bullet"/>
      <w:lvlText w:val="■"/>
      <w:lvlJc w:val="left"/>
      <w:pPr>
        <w:ind w:left="4320" w:hanging="360"/>
      </w:pPr>
    </w:lvl>
    <w:lvl w:ilvl="6" w:tplc="A23EC722">
      <w:start w:val="1"/>
      <w:numFmt w:val="bullet"/>
      <w:lvlText w:val="●"/>
      <w:lvlJc w:val="left"/>
      <w:pPr>
        <w:ind w:left="5040" w:hanging="360"/>
      </w:pPr>
    </w:lvl>
    <w:lvl w:ilvl="7" w:tplc="DDF23406">
      <w:start w:val="1"/>
      <w:numFmt w:val="bullet"/>
      <w:lvlText w:val="●"/>
      <w:lvlJc w:val="left"/>
      <w:pPr>
        <w:ind w:left="5760" w:hanging="360"/>
      </w:pPr>
    </w:lvl>
    <w:lvl w:ilvl="8" w:tplc="31BEA0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13B"/>
    <w:rsid w:val="0070113B"/>
    <w:rsid w:val="009D0BCF"/>
    <w:rsid w:val="00CA605D"/>
    <w:rsid w:val="00F12686"/>
    <w:rsid w:val="00F8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3CD893-A4BD-4806-A608-DC2D78AD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</cp:lastModifiedBy>
  <cp:revision>5</cp:revision>
  <cp:lastPrinted>2026-03-31T05:39:00Z</cp:lastPrinted>
  <dcterms:created xsi:type="dcterms:W3CDTF">2026-03-31T05:37:00Z</dcterms:created>
  <dcterms:modified xsi:type="dcterms:W3CDTF">2026-03-31T05:39:00Z</dcterms:modified>
</cp:coreProperties>
</file>