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
      </w:pPr>
      <w:r>
        <w:rPr>
          <w:rFonts w:ascii="Arial" w:cs="Arial" w:eastAsia="Arial" w:hAnsi="Arial"/>
          <w:b/>
          <w:bCs/>
          <w:color w:val="1F4E79"/>
          <w:sz w:val="56"/>
          <w:szCs w:val="56"/>
        </w:rPr>
        <w:t xml:space="preserve">Resilience and Compliance Strategy</w:t>
      </w:r>
    </w:p>
    <w:p>
      <w:pPr>
        <w:spacing w:after="100" w:before="0"/>
      </w:pPr>
      <w:r>
        <w:rPr>
          <w:rFonts w:ascii="Arial" w:cs="Arial" w:eastAsia="Arial" w:hAnsi="Arial"/>
          <w:color w:val="2E75B6"/>
          <w:sz w:val="28"/>
          <w:szCs w:val="28"/>
        </w:rPr>
        <w:t xml:space="preserve">Disaster Recovery, High Availability, and Compliance Design</w:t>
      </w:r>
    </w:p>
    <w:p>
      <w:pPr>
        <w:pBdr>
          <w:bottom w:val="single" w:color="2E75B6" w:sz="10" w:space="4"/>
        </w:pBdr>
        <w:spacing w:after="60" w:before="0"/>
      </w:pPr>
      <w:r>
        <w:rPr>
          <w:rFonts w:ascii="Arial" w:cs="Arial" w:eastAsia="Arial" w:hAnsi="Arial"/>
          <w:color w:val="595959"/>
          <w:sz w:val="20"/>
          <w:szCs w:val="20"/>
        </w:rPr>
        <w:t xml:space="preserve">Global Retail Platform  |  IBM Cloud  |  March 2026</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60"/>
              <w:left w:type="dxa" w:w="240"/>
              <w:bottom w:type="dxa" w:w="160"/>
              <w:right w:type="dxa" w:w="240"/>
            </w:tcMar>
          </w:tcPr>
          <w:p>
            <w:pPr>
              <w:spacing w:after="100" w:before="0"/>
            </w:pPr>
            <w:r>
              <w:rPr>
                <w:rFonts w:ascii="Arial" w:cs="Arial" w:eastAsia="Arial" w:hAnsi="Arial"/>
                <w:b/>
                <w:bCs/>
                <w:color w:val="1F4E79"/>
                <w:sz w:val="23"/>
                <w:szCs w:val="23"/>
              </w:rPr>
              <w:t xml:space="preserve">Operational Targets — This Document</w:t>
            </w:r>
          </w:p>
          <w:p>
            <w:pPr>
              <w:spacing w:after="0" w:before="0"/>
            </w:pPr>
            <w:r>
              <w:rPr>
                <w:rFonts w:ascii="Arial" w:cs="Arial" w:eastAsia="Arial" w:hAnsi="Arial"/>
                <w:b/>
                <w:bCs/>
                <w:color w:val="1F4E79"/>
                <w:sz w:val="22"/>
                <w:szCs w:val="22"/>
              </w:rPr>
              <w:t xml:space="preserve">Availability: </w:t>
            </w:r>
            <w:r>
              <w:rPr>
                <w:rFonts w:ascii="Arial" w:cs="Arial" w:eastAsia="Arial" w:hAnsi="Arial"/>
                <w:sz w:val="22"/>
                <w:szCs w:val="22"/>
              </w:rPr>
              <w:t xml:space="preserve">99.95% uptime (≤ 4.4 hours downtime/month)   </w:t>
            </w:r>
            <w:r>
              <w:rPr>
                <w:rFonts w:ascii="Arial" w:cs="Arial" w:eastAsia="Arial" w:hAnsi="Arial"/>
                <w:b/>
                <w:bCs/>
                <w:color w:val="1F4E79"/>
                <w:sz w:val="22"/>
                <w:szCs w:val="22"/>
              </w:rPr>
              <w:t xml:space="preserve">Concurrent Users: </w:t>
            </w:r>
            <w:r>
              <w:rPr>
                <w:rFonts w:ascii="Arial" w:cs="Arial" w:eastAsia="Arial" w:hAnsi="Arial"/>
                <w:sz w:val="22"/>
                <w:szCs w:val="22"/>
              </w:rPr>
              <w:t xml:space="preserve">50,000 peak   </w:t>
            </w:r>
            <w:r>
              <w:rPr>
                <w:rFonts w:ascii="Arial" w:cs="Arial" w:eastAsia="Arial" w:hAnsi="Arial"/>
                <w:b/>
                <w:bCs/>
                <w:color w:val="1F4E79"/>
                <w:sz w:val="22"/>
                <w:szCs w:val="22"/>
              </w:rPr>
              <w:t xml:space="preserve">RTO: </w:t>
            </w:r>
            <w:r>
              <w:rPr>
                <w:rFonts w:ascii="Arial" w:cs="Arial" w:eastAsia="Arial" w:hAnsi="Arial"/>
                <w:sz w:val="22"/>
                <w:szCs w:val="22"/>
              </w:rPr>
              <w:t xml:space="preserve">4 hours   </w:t>
            </w:r>
            <w:r>
              <w:rPr>
                <w:rFonts w:ascii="Arial" w:cs="Arial" w:eastAsia="Arial" w:hAnsi="Arial"/>
                <w:b/>
                <w:bCs/>
                <w:color w:val="1F4E79"/>
                <w:sz w:val="22"/>
                <w:szCs w:val="22"/>
              </w:rPr>
              <w:t xml:space="preserve">RPO: </w:t>
            </w:r>
            <w:r>
              <w:rPr>
                <w:rFonts w:ascii="Arial" w:cs="Arial" w:eastAsia="Arial" w:hAnsi="Arial"/>
                <w:sz w:val="22"/>
                <w:szCs w:val="22"/>
              </w:rPr>
              <w:t xml:space="preserve">1 hour   </w:t>
            </w:r>
            <w:r>
              <w:rPr>
                <w:rFonts w:ascii="Arial" w:cs="Arial" w:eastAsia="Arial" w:hAnsi="Arial"/>
                <w:b/>
                <w:bCs/>
                <w:color w:val="1F4E79"/>
                <w:sz w:val="22"/>
                <w:szCs w:val="22"/>
              </w:rPr>
              <w:t xml:space="preserve">Frameworks: </w:t>
            </w:r>
            <w:r>
              <w:rPr>
                <w:rFonts w:ascii="Arial" w:cs="Arial" w:eastAsia="Arial" w:hAnsi="Arial"/>
                <w:sz w:val="22"/>
                <w:szCs w:val="22"/>
              </w:rPr>
              <w:t xml:space="preserve">GDPR (EU), PCI-DSS (payment)</w:t>
            </w:r>
          </w:p>
        </w:tc>
      </w:tr>
    </w:tbl>
    <w:p>
      <w:pPr>
        <w:spacing w:after="0" w:before="160"/>
      </w:pPr>
      <w:r>
        <w:t xml:space="preserve"/>
      </w:r>
    </w:p>
    <w:p>
      <w:pPr>
        <w:pStyle w:val="Heading1"/>
        <w:spacing w:after="180" w:before="440"/>
      </w:pPr>
      <w:r>
        <w:rPr>
          <w:rFonts w:ascii="Arial" w:cs="Arial" w:eastAsia="Arial" w:hAnsi="Arial"/>
          <w:b/>
          <w:bCs/>
          <w:color w:val="1F4E79"/>
          <w:sz w:val="34"/>
          <w:szCs w:val="34"/>
        </w:rPr>
        <w:t xml:space="preserve">High availability strategy</w:t>
      </w:r>
    </w:p>
    <w:p>
      <w:pPr>
        <w:spacing w:after="100" w:before="80"/>
      </w:pPr>
      <w:r>
        <w:rPr>
          <w:rFonts w:ascii="Arial" w:cs="Arial" w:eastAsia="Arial" w:hAnsi="Arial"/>
          <w:sz w:val="22"/>
          <w:szCs w:val="22"/>
        </w:rPr>
        <w:t xml:space="preserve">The high availability strategy for the Global Retail Platform is designed to eliminate single points of failure across every tier of the hybrid architecture. The platform must sustain 99.95% uptime — no more than 4.4 hours of downtime per calendar month — while simultaneously supporting up to 50,000 concurrent users during peak demand events. This is achieved through a combination of multi-zone redundancy, automated failover, horizontal pod auto-scaling, and resilient traffic routing, applied consistently from the DNS layer down to individual service pods.</w:t>
      </w:r>
    </w:p>
    <w:p>
      <w:pPr>
        <w:spacing w:after="0" w:before="80"/>
      </w:pPr>
      <w:r>
        <w:t xml:space="preserve"/>
      </w:r>
    </w:p>
    <w:p>
      <w:pPr>
        <w:pStyle w:val="Heading2"/>
        <w:spacing w:after="130" w:before="280"/>
      </w:pPr>
      <w:r>
        <w:rPr>
          <w:rFonts w:ascii="Arial" w:cs="Arial" w:eastAsia="Arial" w:hAnsi="Arial"/>
          <w:b/>
          <w:bCs/>
          <w:color w:val="2E75B6"/>
          <w:sz w:val="26"/>
          <w:szCs w:val="26"/>
        </w:rPr>
        <w:t xml:space="preserve">1.1  Multi-Zone and Multi-Region Redundancy</w:t>
      </w:r>
    </w:p>
    <w:p>
      <w:pPr>
        <w:spacing w:after="100" w:before="80"/>
      </w:pPr>
      <w:r>
        <w:rPr>
          <w:rFonts w:ascii="Arial" w:cs="Arial" w:eastAsia="Arial" w:hAnsi="Arial"/>
          <w:sz w:val="22"/>
          <w:szCs w:val="22"/>
        </w:rPr>
        <w:t xml:space="preserve">IBM Kubernetes Service (IKS) worker pools in US-South (Dallas) are distributed across three availability zones within the region. Each production microservice — Product, Order Processing, Customer Profile, Checkout and Payment — maintains a minimum of three pod replicas, with at least one replica scheduled in each availability zone. This configuration ensures that the failure of a single zone does not interrupt service availability; remaining replicas in healthy zones continue to serve traffic while Kubernetes reschedules replacement pods.</w:t>
      </w:r>
    </w:p>
    <w:p>
      <w:pPr>
        <w:spacing w:after="0" w:before="60"/>
      </w:pPr>
      <w:r>
        <w:t xml:space="preserve"/>
      </w:r>
    </w:p>
    <w:p>
      <w:pPr>
        <w:spacing w:after="100" w:before="80"/>
      </w:pPr>
      <w:r>
        <w:rPr>
          <w:rFonts w:ascii="Arial" w:cs="Arial" w:eastAsia="Arial" w:hAnsi="Arial"/>
          <w:sz w:val="22"/>
          <w:szCs w:val="22"/>
        </w:rPr>
        <w:t xml:space="preserve">At the regional level, the IBM Cloud Frankfurt region runs active-standby deployments of all core microservices. Under normal operation, all production traffic is served from US-South. If a US-South regional health check fails, IBM Cloud Internet Services (CIS) automatically updates DNS routing to direct traffic to the Frankfurt standby within the 60-second TTL window, satisfying the RTO 4-hour objective with significant headroom.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2E75B6" w:sz="1"/>
              <w:left w:val="single" w:color="2E75B6" w:sz="1"/>
              <w:bottom w:val="single" w:color="2E75B6" w:sz="1"/>
              <w:right w:val="none" w:color="D6E4F0" w:sz="0"/>
            </w:tcBorders>
            <w:shd w:fill="2E75B6" w:val="clear"/>
            <w:tcMar>
              <w:top w:type="dxa" w:w="0"/>
              <w:left w:type="dxa" w:w="0"/>
              <w:bottom w:type="dxa" w:w="0"/>
              <w:right w:type="dxa" w:w="0"/>
            </w:tcMar>
          </w:tcPr>
          <w:p>
            <w:r>
              <w:t xml:space="preserve"/>
            </w:r>
          </w:p>
        </w:tc>
        <w:tc>
          <w:tcPr>
            <w:tcW w:type="dxa" w:w="9120"/>
            <w:tcBorders>
              <w:top w:val="single" w:color="2E75B6" w:sz="1"/>
              <w:left w:val="none" w:color="D6E4F0" w:sz="0"/>
              <w:bottom w:val="single" w:color="2E75B6" w:sz="1"/>
              <w:right w:val="single" w:color="2E75B6" w:sz="1"/>
            </w:tcBorders>
            <w:shd w:fill="D6E4F0" w:val="clear"/>
            <w:tcMar>
              <w:top w:type="dxa" w:w="140"/>
              <w:left w:type="dxa" w:w="200"/>
              <w:bottom w:type="dxa" w:w="140"/>
              <w:right w:type="dxa" w:w="200"/>
            </w:tcMar>
          </w:tcPr>
          <w:p>
            <w:pPr>
              <w:spacing w:after="80" w:before="0"/>
            </w:pPr>
            <w:r>
              <w:rPr>
                <w:rFonts w:ascii="Arial" w:cs="Arial" w:eastAsia="Arial" w:hAnsi="Arial"/>
                <w:b/>
                <w:bCs/>
                <w:color w:val="1F4E79"/>
                <w:sz w:val="23"/>
                <w:szCs w:val="23"/>
              </w:rPr>
              <w:t xml:space="preserve">Redundancy Configuration Summary</w:t>
            </w:r>
          </w:p>
          <w:p>
            <w:pPr>
              <w:pStyle w:val="ListParagraph"/>
              <w:numPr>
                <w:ilvl w:val="0"/>
                <w:numId w:val="2"/>
              </w:numPr>
              <w:spacing w:after="40" w:before="40"/>
            </w:pPr>
            <w:r>
              <w:rPr>
                <w:rFonts w:ascii="Arial" w:cs="Arial" w:eastAsia="Arial" w:hAnsi="Arial"/>
                <w:sz w:val="22"/>
                <w:szCs w:val="22"/>
              </w:rPr>
              <w:t xml:space="preserve">IKS worker pools: 3 availability zones per region, minimum 2 worker nodes per zone</w:t>
            </w:r>
          </w:p>
          <w:p>
            <w:pPr>
              <w:pStyle w:val="ListParagraph"/>
              <w:numPr>
                <w:ilvl w:val="0"/>
                <w:numId w:val="2"/>
              </w:numPr>
              <w:spacing w:after="40" w:before="40"/>
            </w:pPr>
            <w:r>
              <w:rPr>
                <w:rFonts w:ascii="Arial" w:cs="Arial" w:eastAsia="Arial" w:hAnsi="Arial"/>
                <w:sz w:val="22"/>
                <w:szCs w:val="22"/>
              </w:rPr>
              <w:t xml:space="preserve">Product and Checkout services: baseline 3 replicas, scaling to 20 replicas under sustained load</w:t>
            </w:r>
          </w:p>
          <w:p>
            <w:pPr>
              <w:pStyle w:val="ListParagraph"/>
              <w:numPr>
                <w:ilvl w:val="0"/>
                <w:numId w:val="2"/>
              </w:numPr>
              <w:spacing w:after="40" w:before="40"/>
            </w:pPr>
            <w:r>
              <w:rPr>
                <w:rFonts w:ascii="Arial" w:cs="Arial" w:eastAsia="Arial" w:hAnsi="Arial"/>
                <w:sz w:val="22"/>
                <w:szCs w:val="22"/>
              </w:rPr>
              <w:t xml:space="preserve">Database tier: IBM Cloud Databases for PostgreSQL with synchronous replication across 3 zones</w:t>
            </w:r>
          </w:p>
          <w:p>
            <w:pPr>
              <w:pStyle w:val="ListParagraph"/>
              <w:numPr>
                <w:ilvl w:val="0"/>
                <w:numId w:val="2"/>
              </w:numPr>
              <w:spacing w:after="40" w:before="40"/>
            </w:pPr>
            <w:r>
              <w:rPr>
                <w:rFonts w:ascii="Arial" w:cs="Arial" w:eastAsia="Arial" w:hAnsi="Arial"/>
                <w:sz w:val="22"/>
                <w:szCs w:val="22"/>
              </w:rPr>
              <w:t xml:space="preserve">Redis cache: IBM Databases for Redis HA cluster with automatic leader election on primary failure</w:t>
            </w:r>
          </w:p>
          <w:p>
            <w:pPr>
              <w:pStyle w:val="ListParagraph"/>
              <w:numPr>
                <w:ilvl w:val="0"/>
                <w:numId w:val="2"/>
              </w:numPr>
              <w:spacing w:after="40" w:before="40"/>
            </w:pPr>
            <w:r>
              <w:rPr>
                <w:rFonts w:ascii="Arial" w:cs="Arial" w:eastAsia="Arial" w:hAnsi="Arial"/>
                <w:sz w:val="22"/>
                <w:szCs w:val="22"/>
              </w:rPr>
              <w:t xml:space="preserve">EU Frankfurt region: active-standby microservice deployments for all customer-facing services</w:t>
            </w:r>
          </w:p>
        </w:tc>
      </w:tr>
    </w:tbl>
    <w:p>
      <w:pPr>
        <w:spacing w:after="0" w:before="120"/>
      </w:pPr>
      <w:r>
        <w:t xml:space="preserve"/>
      </w:r>
    </w:p>
    <w:p>
      <w:pPr>
        <w:pStyle w:val="Heading2"/>
        <w:spacing w:after="130" w:before="280"/>
      </w:pPr>
      <w:r>
        <w:rPr>
          <w:rFonts w:ascii="Arial" w:cs="Arial" w:eastAsia="Arial" w:hAnsi="Arial"/>
          <w:b/>
          <w:bCs/>
          <w:color w:val="2E75B6"/>
          <w:sz w:val="26"/>
          <w:szCs w:val="26"/>
        </w:rPr>
        <w:t xml:space="preserve">1.2  Horizontal Pod Auto-Scaling</w:t>
      </w:r>
    </w:p>
    <w:p>
      <w:pPr>
        <w:spacing w:after="100" w:before="80"/>
      </w:pPr>
      <w:r>
        <w:rPr>
          <w:rFonts w:ascii="Arial" w:cs="Arial" w:eastAsia="Arial" w:hAnsi="Arial"/>
          <w:sz w:val="22"/>
          <w:szCs w:val="22"/>
        </w:rPr>
        <w:t xml:space="preserve">The IKS Horizontal Pod Autoscaler (HPA) is configured for all customer-facing services. HPA monitors CPU utilization and requests-per-second (RPS) metrics, scaling pod counts upward when thresholds are breached and downward during off-peak periods to control cost. During Black Friday and seasonal sales events, the Product and Checkout services scale from their baseline of 3 replicas to a maximum of 20 replicas within 90 seconds of a sustained threshold breach.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300"/>
        <w:gridCol w:w="2560"/>
        <w:gridCol w:w="1500"/>
      </w:tblGrid>
      <w:tr>
        <w:trPr>
          <w:tblHeader/>
        </w:trPr>
        <w:tc>
          <w:tcPr>
            <w:tcW w:type="dxa" w:w="26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Service</w:t>
            </w:r>
          </w:p>
        </w:tc>
        <w:tc>
          <w:tcPr>
            <w:tcW w:type="dxa" w:w="14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Baseline Replicas</w:t>
            </w:r>
          </w:p>
        </w:tc>
        <w:tc>
          <w:tcPr>
            <w:tcW w:type="dxa" w:w="13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Max Replicas</w:t>
            </w:r>
          </w:p>
        </w:tc>
        <w:tc>
          <w:tcPr>
            <w:tcW w:type="dxa" w:w="256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Scale-Up Trigger</w:t>
            </w:r>
          </w:p>
        </w:tc>
        <w:tc>
          <w:tcPr>
            <w:tcW w:type="dxa" w:w="15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Scale-Down Delay</w:t>
            </w:r>
          </w:p>
        </w:tc>
      </w:tr>
      <w:tr>
        <w:tc>
          <w:tcPr>
            <w:tcW w:type="dxa" w:w="2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Product Microservice</w:t>
            </w:r>
          </w:p>
        </w:tc>
        <w:tc>
          <w:tcPr>
            <w:tcW w:type="dxa" w:w="1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3</w:t>
            </w:r>
          </w:p>
        </w:tc>
        <w:tc>
          <w:tcPr>
            <w:tcW w:type="dxa" w:w="13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20</w:t>
            </w:r>
          </w:p>
        </w:tc>
        <w:tc>
          <w:tcPr>
            <w:tcW w:type="dxa" w:w="25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CPU &gt; 65% or RPS &gt; 500 for 60s</w:t>
            </w:r>
          </w:p>
        </w:tc>
        <w:tc>
          <w:tcPr>
            <w:tcW w:type="dxa" w:w="15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5 minutes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Checkout &amp; Payment API</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3</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15</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CPU &gt; 60% or RPS &gt; 300 for 60s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10 minutes</w:t>
            </w:r>
          </w:p>
        </w:tc>
      </w:tr>
      <w:tr>
        <w:tc>
          <w:tcPr>
            <w:tcW w:type="dxa" w:w="2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Order Processing Service</w:t>
            </w:r>
          </w:p>
        </w:tc>
        <w:tc>
          <w:tcPr>
            <w:tcW w:type="dxa" w:w="1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3</w:t>
            </w:r>
          </w:p>
        </w:tc>
        <w:tc>
          <w:tcPr>
            <w:tcW w:type="dxa" w:w="13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12</w:t>
            </w:r>
          </w:p>
        </w:tc>
        <w:tc>
          <w:tcPr>
            <w:tcW w:type="dxa" w:w="25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CPU &gt; 70% for 60s</w:t>
            </w:r>
          </w:p>
        </w:tc>
        <w:tc>
          <w:tcPr>
            <w:tcW w:type="dxa" w:w="15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5 minutes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Customer Profile Service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2</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10</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CPU &gt; 70% for 60s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5 minutes</w:t>
            </w:r>
          </w:p>
        </w:tc>
      </w:tr>
      <w:tr>
        <w:tc>
          <w:tcPr>
            <w:tcW w:type="dxa" w:w="2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API Gateway</w:t>
            </w:r>
          </w:p>
        </w:tc>
        <w:tc>
          <w:tcPr>
            <w:tcW w:type="dxa" w:w="1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3</w:t>
            </w:r>
          </w:p>
        </w:tc>
        <w:tc>
          <w:tcPr>
            <w:tcW w:type="dxa" w:w="13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20</w:t>
            </w:r>
          </w:p>
        </w:tc>
        <w:tc>
          <w:tcPr>
            <w:tcW w:type="dxa" w:w="25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Connections &gt; 8,000 for 30s</w:t>
            </w:r>
          </w:p>
        </w:tc>
        <w:tc>
          <w:tcPr>
            <w:tcW w:type="dxa" w:w="15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5 minutes</w:t>
            </w:r>
          </w:p>
        </w:tc>
      </w:tr>
    </w:tbl>
    <w:p>
      <w:pPr>
        <w:spacing w:after="0" w:before="120"/>
      </w:pPr>
      <w:r>
        <w:t xml:space="preserve"/>
      </w:r>
    </w:p>
    <w:p>
      <w:pPr>
        <w:pStyle w:val="Heading2"/>
        <w:spacing w:after="130" w:before="280"/>
      </w:pPr>
      <w:r>
        <w:rPr>
          <w:rFonts w:ascii="Arial" w:cs="Arial" w:eastAsia="Arial" w:hAnsi="Arial"/>
          <w:b/>
          <w:bCs/>
          <w:color w:val="2E75B6"/>
          <w:sz w:val="26"/>
          <w:szCs w:val="26"/>
        </w:rPr>
        <w:t xml:space="preserve">1.3  Load Balancing and Traffic Routing</w:t>
      </w:r>
    </w:p>
    <w:p>
      <w:pPr>
        <w:spacing w:after="100" w:before="80"/>
      </w:pPr>
      <w:r>
        <w:rPr>
          <w:rFonts w:ascii="Arial" w:cs="Arial" w:eastAsia="Arial" w:hAnsi="Arial"/>
          <w:sz w:val="22"/>
          <w:szCs w:val="22"/>
        </w:rPr>
        <w:t xml:space="preserve">Traffic is distributed across a four-layer routing stack that applies routing intelligence at each level, from global DNS resolution through to individual pod selection. Each layer contributes independently to availability — failure or saturation at one layer does not propagate to layers below 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2760"/>
      </w:tblGrid>
      <w:tr>
        <w:trPr>
          <w:tblHeader/>
        </w:trPr>
        <w:tc>
          <w:tcPr>
            <w:tcW w:type="dxa" w:w="14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Layer</w:t>
            </w:r>
          </w:p>
        </w:tc>
        <w:tc>
          <w:tcPr>
            <w:tcW w:type="dxa" w:w="24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28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Mechanism</w:t>
            </w:r>
          </w:p>
        </w:tc>
        <w:tc>
          <w:tcPr>
            <w:tcW w:type="dxa" w:w="276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Availability Contribution</w:t>
            </w:r>
          </w:p>
        </w:tc>
      </w:tr>
      <w:tr>
        <w:tc>
          <w:tcPr>
            <w:tcW w:type="dxa" w:w="1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DNS / Global</w:t>
            </w:r>
          </w:p>
        </w:tc>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IBM Cloud Internet Services (CIS)</w:t>
            </w:r>
          </w:p>
        </w:tc>
        <w:tc>
          <w:tcPr>
            <w:tcW w:type="dxa" w:w="28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Anycast DNS with health-check-driven global load balancing; 60-second regional failover</w:t>
            </w:r>
          </w:p>
        </w:tc>
        <w:tc>
          <w:tcPr>
            <w:tcW w:type="dxa" w:w="27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Routes users to the nearest healthy region; prevents single-region failures from affecting all users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Regional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IBM Cloud Application Load Balancer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HTTP/HTTPS path-based routing across IKS node pools; health probes every 10 seconds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Removes unhealthy nodes from rotation within 30 seconds; enables zero-downtime deployments</w:t>
            </w:r>
          </w:p>
        </w:tc>
      </w:tr>
      <w:tr>
        <w:tc>
          <w:tcPr>
            <w:tcW w:type="dxa" w:w="1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Cluster</w:t>
            </w:r>
          </w:p>
        </w:tc>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Kubernetes Ingress (NGINX)</w:t>
            </w:r>
          </w:p>
        </w:tc>
        <w:tc>
          <w:tcPr>
            <w:tcW w:type="dxa" w:w="28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TLS termination; Host/path routing to ClusterIP services; pod-level NetworkPolicy</w:t>
            </w:r>
          </w:p>
        </w:tc>
        <w:tc>
          <w:tcPr>
            <w:tcW w:type="dxa" w:w="27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Isolates service blast radius; a failing service does not affect routing to healthy services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East-West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Istio Service Mesh</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mTLS; per-service circuit breakers; retry policies with exponential back-off; distributed tracing</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Prevents cascading failures; automatically retries transient errors before surfacing them to the caller</w:t>
            </w:r>
          </w:p>
        </w:tc>
      </w:tr>
    </w:tbl>
    <w:p>
      <w:pPr>
        <w:spacing w:after="0" w:before="120"/>
      </w:pPr>
      <w:r>
        <w:t xml:space="preserve"/>
      </w:r>
    </w:p>
    <w:p>
      <w:pPr>
        <w:pStyle w:val="Heading2"/>
        <w:spacing w:after="130" w:before="280"/>
      </w:pPr>
      <w:r>
        <w:rPr>
          <w:rFonts w:ascii="Arial" w:cs="Arial" w:eastAsia="Arial" w:hAnsi="Arial"/>
          <w:b/>
          <w:bCs/>
          <w:color w:val="2E75B6"/>
          <w:sz w:val="26"/>
          <w:szCs w:val="26"/>
        </w:rPr>
        <w:t xml:space="preserve">1.4  Zero-Downtime Deployment Strategy</w:t>
      </w:r>
    </w:p>
    <w:p>
      <w:pPr>
        <w:spacing w:after="100" w:before="80"/>
      </w:pPr>
      <w:r>
        <w:rPr>
          <w:rFonts w:ascii="Arial" w:cs="Arial" w:eastAsia="Arial" w:hAnsi="Arial"/>
          <w:sz w:val="22"/>
          <w:szCs w:val="22"/>
        </w:rPr>
        <w:t xml:space="preserve">All production deployments use a rolling update strategy with maxUnavailable=0 and maxSurge=1, as defined in the Kubernetes deployment manifest and enforced by the CI/CD pipeline. This configuration guarantees that the platform maintains full replica capacity throughout every deployment: a new pod is brought to a Ready state before its predecessor is terminated. The post-deployment health check in the CI/CD pipeline verifies that the updated service returns HTTP 200 on the /products endpoint within 300 seconds; if the check fails, kubectl rollout undo is triggered automatically, reverting the deployment to the last known-good image.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1A5C30" w:sz="1"/>
              <w:left w:val="single" w:color="1A5C30" w:sz="1"/>
              <w:bottom w:val="single" w:color="1A5C30" w:sz="1"/>
              <w:right w:val="none" w:color="E2F0E8" w:sz="0"/>
            </w:tcBorders>
            <w:shd w:fill="1A5C30" w:val="clear"/>
            <w:tcMar>
              <w:top w:type="dxa" w:w="0"/>
              <w:left w:type="dxa" w:w="0"/>
              <w:bottom w:type="dxa" w:w="0"/>
              <w:right w:type="dxa" w:w="0"/>
            </w:tcMar>
          </w:tcPr>
          <w:p>
            <w:r>
              <w:t xml:space="preserve"/>
            </w:r>
          </w:p>
        </w:tc>
        <w:tc>
          <w:tcPr>
            <w:tcW w:type="dxa" w:w="9120"/>
            <w:tcBorders>
              <w:top w:val="single" w:color="1A5C30" w:sz="1"/>
              <w:left w:val="none" w:color="E2F0E8" w:sz="0"/>
              <w:bottom w:val="single" w:color="1A5C30" w:sz="1"/>
              <w:right w:val="single" w:color="1A5C30" w:sz="1"/>
            </w:tcBorders>
            <w:shd w:fill="E2F0E8" w:val="clear"/>
            <w:tcMar>
              <w:top w:type="dxa" w:w="140"/>
              <w:left w:type="dxa" w:w="200"/>
              <w:bottom w:type="dxa" w:w="140"/>
              <w:right w:type="dxa" w:w="200"/>
            </w:tcMar>
          </w:tcPr>
          <w:p>
            <w:pPr>
              <w:spacing w:after="80" w:before="0"/>
            </w:pPr>
            <w:r>
              <w:rPr>
                <w:rFonts w:ascii="Arial" w:cs="Arial" w:eastAsia="Arial" w:hAnsi="Arial"/>
                <w:b/>
                <w:bCs/>
                <w:color w:val="1A5C30"/>
                <w:sz w:val="23"/>
                <w:szCs w:val="23"/>
              </w:rPr>
              <w:t xml:space="preserve">Deployment Safety Controls</w:t>
            </w:r>
          </w:p>
          <w:p>
            <w:pPr>
              <w:pStyle w:val="ListParagraph"/>
              <w:numPr>
                <w:ilvl w:val="0"/>
                <w:numId w:val="2"/>
              </w:numPr>
              <w:spacing w:after="40" w:before="40"/>
            </w:pPr>
            <w:r>
              <w:rPr>
                <w:rFonts w:ascii="Arial" w:cs="Arial" w:eastAsia="Arial" w:hAnsi="Arial"/>
                <w:sz w:val="22"/>
                <w:szCs w:val="22"/>
              </w:rPr>
              <w:t xml:space="preserve">Rolling update: maxUnavailable=0, maxSurge=1 — full capacity maintained throughout rollout</w:t>
            </w:r>
          </w:p>
          <w:p>
            <w:pPr>
              <w:pStyle w:val="ListParagraph"/>
              <w:numPr>
                <w:ilvl w:val="0"/>
                <w:numId w:val="2"/>
              </w:numPr>
              <w:spacing w:after="40" w:before="40"/>
            </w:pPr>
            <w:r>
              <w:rPr>
                <w:rFonts w:ascii="Arial" w:cs="Arial" w:eastAsia="Arial" w:hAnsi="Arial"/>
                <w:sz w:val="22"/>
                <w:szCs w:val="22"/>
              </w:rPr>
              <w:t xml:space="preserve">Readiness probe: HTTP GET /health — pod only receives traffic after passing probe</w:t>
            </w:r>
          </w:p>
          <w:p>
            <w:pPr>
              <w:pStyle w:val="ListParagraph"/>
              <w:numPr>
                <w:ilvl w:val="0"/>
                <w:numId w:val="2"/>
              </w:numPr>
              <w:spacing w:after="40" w:before="40"/>
            </w:pPr>
            <w:r>
              <w:rPr>
                <w:rFonts w:ascii="Arial" w:cs="Arial" w:eastAsia="Arial" w:hAnsi="Arial"/>
                <w:sz w:val="22"/>
                <w:szCs w:val="22"/>
              </w:rPr>
              <w:t xml:space="preserve">Liveness probe: HTTP GET /health every 10s — unhealthy pods are restarted automatically</w:t>
            </w:r>
          </w:p>
          <w:p>
            <w:pPr>
              <w:pStyle w:val="ListParagraph"/>
              <w:numPr>
                <w:ilvl w:val="0"/>
                <w:numId w:val="2"/>
              </w:numPr>
              <w:spacing w:after="40" w:before="40"/>
            </w:pPr>
            <w:r>
              <w:rPr>
                <w:rFonts w:ascii="Arial" w:cs="Arial" w:eastAsia="Arial" w:hAnsi="Arial"/>
                <w:sz w:val="22"/>
                <w:szCs w:val="22"/>
              </w:rPr>
              <w:t xml:space="preserve">Rollback trigger: non-200 HTTP response on health check within 300s of deployment</w:t>
            </w:r>
          </w:p>
          <w:p>
            <w:pPr>
              <w:pStyle w:val="ListParagraph"/>
              <w:numPr>
                <w:ilvl w:val="0"/>
                <w:numId w:val="2"/>
              </w:numPr>
              <w:spacing w:after="40" w:before="40"/>
            </w:pPr>
            <w:r>
              <w:rPr>
                <w:rFonts w:ascii="Arial" w:cs="Arial" w:eastAsia="Arial" w:hAnsi="Arial"/>
                <w:sz w:val="22"/>
                <w:szCs w:val="22"/>
              </w:rPr>
              <w:t xml:space="preserve">Approval gates: manual sign-off from DevOps Lead + QA Lead before Staging; three-role approval before Production</w:t>
            </w:r>
          </w:p>
        </w:tc>
      </w:tr>
    </w:tbl>
    <w:p>
      <w:pPr>
        <w:spacing w:after="0" w:before="120"/>
      </w:pPr>
      <w:r>
        <w:t xml:space="preserve"/>
      </w:r>
    </w:p>
    <w:p>
      <w:pPr>
        <w:pStyle w:val="Heading2"/>
        <w:spacing w:after="130" w:before="280"/>
      </w:pPr>
      <w:r>
        <w:rPr>
          <w:rFonts w:ascii="Arial" w:cs="Arial" w:eastAsia="Arial" w:hAnsi="Arial"/>
          <w:b/>
          <w:bCs/>
          <w:color w:val="2E75B6"/>
          <w:sz w:val="26"/>
          <w:szCs w:val="26"/>
        </w:rPr>
        <w:t xml:space="preserve">1.5  Circuit Breaking and Fault Isolation</w:t>
      </w:r>
    </w:p>
    <w:p>
      <w:pPr>
        <w:spacing w:after="100" w:before="80"/>
      </w:pPr>
      <w:r>
        <w:rPr>
          <w:rFonts w:ascii="Arial" w:cs="Arial" w:eastAsia="Arial" w:hAnsi="Arial"/>
          <w:sz w:val="22"/>
          <w:szCs w:val="22"/>
        </w:rPr>
        <w:t xml:space="preserve">Istio circuit breakers are configured for all inter-service communication paths in the Application Services Zone. When an upstream service returns errors at a rate exceeding the configured threshold, the circuit breaker opens and subsequent requests are immediately rejected with a 503 response rather than queuing and timing out. This prevents a degraded dependency from consuming thread pool capacity in the calling service and cascading the failure across the service mesh. Combined with retry policies configured with exponential back-off and jitter, transient errors are absorbed without user-visible impact under normal load, while sustained failures are isolated to the affected service boundary.</w:t>
      </w:r>
    </w:p>
    <w:p>
      <w:pPr>
        <w:spacing w:after="0" w:before="80"/>
      </w:pPr>
      <w:r>
        <w:t xml:space="preserve"/>
      </w:r>
    </w:p>
    <w:p>
      <w:pPr>
        <w:pStyle w:val="Heading1"/>
        <w:spacing w:after="180" w:before="440"/>
      </w:pPr>
      <w:r>
        <w:rPr>
          <w:rFonts w:ascii="Arial" w:cs="Arial" w:eastAsia="Arial" w:hAnsi="Arial"/>
          <w:b/>
          <w:bCs/>
          <w:color w:val="1F4E79"/>
          <w:sz w:val="34"/>
          <w:szCs w:val="34"/>
        </w:rPr>
        <w:t xml:space="preserve">Disaster recovery strategy</w:t>
      </w:r>
    </w:p>
    <w:p>
      <w:pPr>
        <w:spacing w:after="100" w:before="80"/>
      </w:pPr>
      <w:r>
        <w:rPr>
          <w:rFonts w:ascii="Arial" w:cs="Arial" w:eastAsia="Arial" w:hAnsi="Arial"/>
          <w:sz w:val="22"/>
          <w:szCs w:val="22"/>
        </w:rPr>
        <w:t xml:space="preserve">The disaster recovery strategy defines how the Global Retail Platform detects, responds to, and recovers from major infrastructure failures — including regional cloud outages, data center disruptions, and catastrophic data loss events. The strategy is designed around two quantified recovery objectives established in the non-functional requirements: a Recovery Time Objective (RTO) of four hours and a Recovery Point Objective (RPO) of one hour. Every backup, replication, and failover mechanism in this strategy is selected and configured to meet or exceed these targets.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2"/>
                <w:szCs w:val="22"/>
              </w:rPr>
              <w:t xml:space="preserve">Recovery Time Objective (RTO)</w:t>
            </w:r>
          </w:p>
        </w:tc>
        <w:tc>
          <w:tcPr>
            <w:tcW w:type="dxa" w:w="57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r>
              <w:rPr>
                <w:rFonts w:ascii="Arial" w:cs="Arial" w:eastAsia="Arial" w:hAnsi="Arial"/>
                <w:sz w:val="22"/>
                <w:szCs w:val="22"/>
              </w:rPr>
              <w:t xml:space="preserve">4 hours — maximum acceptable time from failure detection to full service restoration</w:t>
            </w:r>
          </w:p>
        </w:tc>
      </w:tr>
      <w:tr>
        <w:tc>
          <w:tcPr>
            <w:tcW w:type="dxa" w:w="36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r>
              <w:rPr>
                <w:rFonts w:ascii="Arial" w:cs="Arial" w:eastAsia="Arial" w:hAnsi="Arial"/>
                <w:b/>
                <w:bCs/>
                <w:color w:val="1F4E79"/>
                <w:sz w:val="22"/>
                <w:szCs w:val="22"/>
              </w:rPr>
              <w:t xml:space="preserve">Recovery Point Objective (RPO)</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1 hour — maximum acceptable data loss window; no more than 60 minutes of transactions may be unrecoverable</w:t>
            </w:r>
          </w:p>
        </w:tc>
      </w:tr>
      <w:tr>
        <w:tc>
          <w:tcPr>
            <w:tcW w:type="dxa" w:w="3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2"/>
                <w:szCs w:val="22"/>
              </w:rPr>
              <w:t xml:space="preserve">Primary Region</w:t>
            </w:r>
          </w:p>
        </w:tc>
        <w:tc>
          <w:tcPr>
            <w:tcW w:type="dxa" w:w="57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r>
              <w:rPr>
                <w:rFonts w:ascii="Arial" w:cs="Arial" w:eastAsia="Arial" w:hAnsi="Arial"/>
                <w:sz w:val="22"/>
                <w:szCs w:val="22"/>
              </w:rPr>
              <w:t xml:space="preserve">IBM Cloud US-South (Dallas) — all production traffic under normal operation</w:t>
            </w:r>
          </w:p>
        </w:tc>
      </w:tr>
      <w:tr>
        <w:tc>
          <w:tcPr>
            <w:tcW w:type="dxa" w:w="36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r>
              <w:rPr>
                <w:rFonts w:ascii="Arial" w:cs="Arial" w:eastAsia="Arial" w:hAnsi="Arial"/>
                <w:b/>
                <w:bCs/>
                <w:color w:val="1F4E79"/>
                <w:sz w:val="22"/>
                <w:szCs w:val="22"/>
              </w:rPr>
              <w:t xml:space="preserve">DR Region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IBM Cloud EU-Central (Frankfurt) — active-standby deployments; DNS failover target</w:t>
            </w:r>
          </w:p>
        </w:tc>
      </w:tr>
      <w:tr>
        <w:tc>
          <w:tcPr>
            <w:tcW w:type="dxa" w:w="3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2"/>
                <w:szCs w:val="22"/>
              </w:rPr>
              <w:t xml:space="preserve">Failover Trigger</w:t>
            </w:r>
          </w:p>
        </w:tc>
        <w:tc>
          <w:tcPr>
            <w:tcW w:type="dxa" w:w="57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r>
              <w:rPr>
                <w:rFonts w:ascii="Arial" w:cs="Arial" w:eastAsia="Arial" w:hAnsi="Arial"/>
                <w:sz w:val="22"/>
                <w:szCs w:val="22"/>
              </w:rPr>
              <w:t xml:space="preserve">CIS regional health check failure sustained for &gt; 2 minutes</w:t>
            </w:r>
          </w:p>
        </w:tc>
      </w:tr>
      <w:tr>
        <w:tc>
          <w:tcPr>
            <w:tcW w:type="dxa" w:w="3600"/>
            <w:tcBorders>
              <w:top w:val="single" w:color="CCCCCC" w:sz="1"/>
              <w:left w:val="single" w:color="CCCCCC" w:sz="1"/>
              <w:bottom w:val="single" w:color="CCCCCC" w:sz="1"/>
              <w:right w:val="single" w:color="CCCCCC" w:sz="1"/>
            </w:tcBorders>
            <w:shd w:fill="E8F0F8" w:val="clear"/>
            <w:tcMar>
              <w:top w:type="dxa" w:w="100"/>
              <w:left w:type="dxa" w:w="140"/>
              <w:bottom w:type="dxa" w:w="100"/>
              <w:right w:type="dxa" w:w="140"/>
            </w:tcMar>
          </w:tcPr>
          <w:p>
            <w:r>
              <w:rPr>
                <w:rFonts w:ascii="Arial" w:cs="Arial" w:eastAsia="Arial" w:hAnsi="Arial"/>
                <w:b/>
                <w:bCs/>
                <w:color w:val="1F4E79"/>
                <w:sz w:val="22"/>
                <w:szCs w:val="22"/>
              </w:rPr>
              <w:t xml:space="preserve">Failover Method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2"/>
                <w:szCs w:val="22"/>
              </w:rPr>
              <w:t xml:space="preserve">Automated CIS DNS update + IBM Satellite orchestrated workload promotion</w:t>
            </w:r>
          </w:p>
        </w:tc>
      </w:tr>
      <w:tr>
        <w:tc>
          <w:tcPr>
            <w:tcW w:type="dxa" w:w="3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2"/>
                <w:szCs w:val="22"/>
              </w:rPr>
              <w:t xml:space="preserve">DR Test Cadence</w:t>
            </w:r>
          </w:p>
        </w:tc>
        <w:tc>
          <w:tcPr>
            <w:tcW w:type="dxa" w:w="57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tcPr>
          <w:p>
            <w:r>
              <w:rPr>
                <w:rFonts w:ascii="Arial" w:cs="Arial" w:eastAsia="Arial" w:hAnsi="Arial"/>
                <w:sz w:val="22"/>
                <w:szCs w:val="22"/>
              </w:rPr>
              <w:t xml:space="preserve">Full failover drill conducted quarterly; partial recovery test monthly</w:t>
            </w:r>
          </w:p>
        </w:tc>
      </w:tr>
    </w:tbl>
    <w:p>
      <w:pPr>
        <w:spacing w:after="0" w:before="120"/>
      </w:pPr>
      <w:r>
        <w:t xml:space="preserve"/>
      </w:r>
    </w:p>
    <w:p>
      <w:pPr>
        <w:pStyle w:val="Heading2"/>
        <w:spacing w:after="130" w:before="280"/>
      </w:pPr>
      <w:r>
        <w:rPr>
          <w:rFonts w:ascii="Arial" w:cs="Arial" w:eastAsia="Arial" w:hAnsi="Arial"/>
          <w:b/>
          <w:bCs/>
          <w:color w:val="2E75B6"/>
          <w:sz w:val="26"/>
          <w:szCs w:val="26"/>
        </w:rPr>
        <w:t xml:space="preserve">2.1  Backup Strategy</w:t>
      </w:r>
    </w:p>
    <w:p>
      <w:pPr>
        <w:spacing w:after="100" w:before="80"/>
      </w:pPr>
      <w:r>
        <w:rPr>
          <w:rFonts w:ascii="Arial" w:cs="Arial" w:eastAsia="Arial" w:hAnsi="Arial"/>
          <w:sz w:val="22"/>
          <w:szCs w:val="22"/>
        </w:rPr>
        <w:t xml:space="preserve">Data backup is implemented at three levels: database snapshots, cross-region object storage replication, and container image registry redundancy. Each mechanism is aligned to the specific data type and its RPO contribution.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400"/>
        <w:gridCol w:w="1200"/>
        <w:gridCol w:w="1560"/>
      </w:tblGrid>
      <w:tr>
        <w:trPr>
          <w:tblHeader/>
        </w:trPr>
        <w:tc>
          <w:tcPr>
            <w:tcW w:type="dxa" w:w="24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 Asset</w:t>
            </w:r>
          </w:p>
        </w:tc>
        <w:tc>
          <w:tcPr>
            <w:tcW w:type="dxa" w:w="28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Backup Mechanism</w:t>
            </w:r>
          </w:p>
        </w:tc>
        <w:tc>
          <w:tcPr>
            <w:tcW w:type="dxa" w:w="14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Frequency</w:t>
            </w:r>
          </w:p>
        </w:tc>
        <w:tc>
          <w:tcPr>
            <w:tcW w:type="dxa" w:w="12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Retention</w:t>
            </w:r>
          </w:p>
        </w:tc>
        <w:tc>
          <w:tcPr>
            <w:tcW w:type="dxa" w:w="156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RPO Contribution</w:t>
            </w:r>
          </w:p>
        </w:tc>
      </w:tr>
      <w:tr>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PostgreSQL transaction DB</w:t>
            </w:r>
          </w:p>
        </w:tc>
        <w:tc>
          <w:tcPr>
            <w:tcW w:type="dxa" w:w="28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IBM Cloud Databases automated snapshots + WAL archiving to COS</w:t>
            </w:r>
          </w:p>
        </w:tc>
        <w:tc>
          <w:tcPr>
            <w:tcW w:type="dxa" w:w="1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Continuous (WAL) + daily snapshot</w:t>
            </w:r>
          </w:p>
        </w:tc>
        <w:tc>
          <w:tcPr>
            <w:tcW w:type="dxa" w:w="1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30 days</w:t>
            </w:r>
          </w:p>
        </w:tc>
        <w:tc>
          <w:tcPr>
            <w:tcW w:type="dxa" w:w="15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&lt; 15 minutes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Inventory &amp; order state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Block storage snapshots replicated to Frankfurt COS bucket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Every 15 minutes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7 days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&lt; 15 minutes</w:t>
            </w:r>
          </w:p>
        </w:tc>
      </w:tr>
      <w:tr>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EU Customer PII DB (Frankfurt)</w:t>
            </w:r>
          </w:p>
        </w:tc>
        <w:tc>
          <w:tcPr>
            <w:tcW w:type="dxa" w:w="28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Automated daily backup within Frankfurt region; no cross-region transfer (GDPR)</w:t>
            </w:r>
          </w:p>
        </w:tc>
        <w:tc>
          <w:tcPr>
            <w:tcW w:type="dxa" w:w="1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Daily</w:t>
            </w:r>
          </w:p>
        </w:tc>
        <w:tc>
          <w:tcPr>
            <w:tcW w:type="dxa" w:w="1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90 days</w:t>
            </w:r>
          </w:p>
        </w:tc>
        <w:tc>
          <w:tcPr>
            <w:tcW w:type="dxa" w:w="15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&lt; 24 hours (PII only)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Redis session cache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Redis AOF persistence + snapshot to COS every 5 minutes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Every 5 minutes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24 hours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&lt; 5 minutes</w:t>
            </w:r>
          </w:p>
        </w:tc>
      </w:tr>
      <w:tr>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Container images</w:t>
            </w:r>
          </w:p>
        </w:tc>
        <w:tc>
          <w:tcPr>
            <w:tcW w:type="dxa" w:w="28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IBM Container Registry mirrored to Frankfurt registry namespace</w:t>
            </w:r>
          </w:p>
        </w:tc>
        <w:tc>
          <w:tcPr>
            <w:tcW w:type="dxa" w:w="1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On every push</w:t>
            </w:r>
          </w:p>
        </w:tc>
        <w:tc>
          <w:tcPr>
            <w:tcW w:type="dxa" w:w="1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90 days</w:t>
            </w:r>
          </w:p>
        </w:tc>
        <w:tc>
          <w:tcPr>
            <w:tcW w:type="dxa" w:w="15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N/A — stateless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Build artifacts &amp; SBOM</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IBM COS Standard tier with cross-region replication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On every pipeline run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1 year</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N/A — audit evidence</w:t>
            </w:r>
          </w:p>
        </w:tc>
      </w:tr>
      <w:tr>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Application &amp; audit logs</w:t>
            </w:r>
          </w:p>
        </w:tc>
        <w:tc>
          <w:tcPr>
            <w:tcW w:type="dxa" w:w="28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IBM COS immutable bucket (WORM) with cross-region replication</w:t>
            </w:r>
          </w:p>
        </w:tc>
        <w:tc>
          <w:tcPr>
            <w:tcW w:type="dxa" w:w="1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Real-time streaming</w:t>
            </w:r>
          </w:p>
        </w:tc>
        <w:tc>
          <w:tcPr>
            <w:tcW w:type="dxa" w:w="1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7 years</w:t>
            </w:r>
          </w:p>
        </w:tc>
        <w:tc>
          <w:tcPr>
            <w:tcW w:type="dxa" w:w="15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N/A — append-only</w:t>
            </w:r>
          </w:p>
        </w:tc>
      </w:tr>
    </w:tbl>
    <w:p>
      <w:pPr>
        <w:spacing w:after="0" w:before="120"/>
      </w:pPr>
      <w:r>
        <w:t xml:space="preserve"/>
      </w:r>
    </w:p>
    <w:p>
      <w:pPr>
        <w:pStyle w:val="Heading2"/>
        <w:spacing w:after="130" w:before="280"/>
      </w:pPr>
      <w:r>
        <w:rPr>
          <w:rFonts w:ascii="Arial" w:cs="Arial" w:eastAsia="Arial" w:hAnsi="Arial"/>
          <w:b/>
          <w:bCs/>
          <w:color w:val="2E75B6"/>
          <w:sz w:val="26"/>
          <w:szCs w:val="26"/>
        </w:rPr>
        <w:t xml:space="preserve">2.2  Replication Architecture</w:t>
      </w:r>
    </w:p>
    <w:p>
      <w:pPr>
        <w:spacing w:after="100" w:before="80"/>
      </w:pPr>
      <w:r>
        <w:rPr>
          <w:rFonts w:ascii="Arial" w:cs="Arial" w:eastAsia="Arial" w:hAnsi="Arial"/>
          <w:sz w:val="22"/>
          <w:szCs w:val="22"/>
        </w:rPr>
        <w:t xml:space="preserve">Active data replication between US-South and EU-Frankfurt ensures that the standby region maintains a data state that is no more than 60 minutes behind production at any point. IBM Cloud Object Storage cross-region replication handles unstructured and semi-structured data asynchronously. PostgreSQL WAL (Write-Ahead Log) shipping via IBM Cloud Databases provides near-real-time transactional data replication with a typical lag of under 15 minutes under normal load.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2E75B6" w:sz="1"/>
              <w:left w:val="single" w:color="2E75B6" w:sz="1"/>
              <w:bottom w:val="single" w:color="2E75B6" w:sz="1"/>
              <w:right w:val="none" w:color="D6E4F0" w:sz="0"/>
            </w:tcBorders>
            <w:shd w:fill="2E75B6" w:val="clear"/>
            <w:tcMar>
              <w:top w:type="dxa" w:w="0"/>
              <w:left w:type="dxa" w:w="0"/>
              <w:bottom w:type="dxa" w:w="0"/>
              <w:right w:type="dxa" w:w="0"/>
            </w:tcMar>
          </w:tcPr>
          <w:p>
            <w:r>
              <w:t xml:space="preserve"/>
            </w:r>
          </w:p>
        </w:tc>
        <w:tc>
          <w:tcPr>
            <w:tcW w:type="dxa" w:w="9120"/>
            <w:tcBorders>
              <w:top w:val="single" w:color="2E75B6" w:sz="1"/>
              <w:left w:val="none" w:color="D6E4F0" w:sz="0"/>
              <w:bottom w:val="single" w:color="2E75B6" w:sz="1"/>
              <w:right w:val="single" w:color="2E75B6" w:sz="1"/>
            </w:tcBorders>
            <w:shd w:fill="D6E4F0" w:val="clear"/>
            <w:tcMar>
              <w:top w:type="dxa" w:w="140"/>
              <w:left w:type="dxa" w:w="200"/>
              <w:bottom w:type="dxa" w:w="140"/>
              <w:right w:type="dxa" w:w="200"/>
            </w:tcMar>
          </w:tcPr>
          <w:p>
            <w:pPr>
              <w:spacing w:after="80" w:before="0"/>
            </w:pPr>
            <w:r>
              <w:rPr>
                <w:rFonts w:ascii="Arial" w:cs="Arial" w:eastAsia="Arial" w:hAnsi="Arial"/>
                <w:b/>
                <w:bCs/>
                <w:color w:val="1F4E79"/>
                <w:sz w:val="23"/>
                <w:szCs w:val="23"/>
              </w:rPr>
              <w:t xml:space="preserve">Replication Topology</w:t>
            </w:r>
          </w:p>
          <w:p>
            <w:pPr>
              <w:pStyle w:val="ListParagraph"/>
              <w:numPr>
                <w:ilvl w:val="0"/>
                <w:numId w:val="2"/>
              </w:numPr>
              <w:spacing w:after="40" w:before="40"/>
            </w:pPr>
            <w:r>
              <w:rPr>
                <w:rFonts w:ascii="Arial" w:cs="Arial" w:eastAsia="Arial" w:hAnsi="Arial"/>
                <w:sz w:val="22"/>
                <w:szCs w:val="22"/>
              </w:rPr>
              <w:t xml:space="preserve">PostgreSQL (primary): US-South — WAL shipped to standby replica in Frankfurt every 15 minutes; promotes automatically on primary failure</w:t>
            </w:r>
          </w:p>
          <w:p>
            <w:pPr>
              <w:pStyle w:val="ListParagraph"/>
              <w:numPr>
                <w:ilvl w:val="0"/>
                <w:numId w:val="2"/>
              </w:numPr>
              <w:spacing w:after="40" w:before="40"/>
            </w:pPr>
            <w:r>
              <w:rPr>
                <w:rFonts w:ascii="Arial" w:cs="Arial" w:eastAsia="Arial" w:hAnsi="Arial"/>
                <w:sz w:val="22"/>
                <w:szCs w:val="22"/>
              </w:rPr>
              <w:t xml:space="preserve">IBM COS (all buckets): Cross-region replication enabled; objects replicated to Frankfurt bucket within 5 minutes of write</w:t>
            </w:r>
          </w:p>
          <w:p>
            <w:pPr>
              <w:pStyle w:val="ListParagraph"/>
              <w:numPr>
                <w:ilvl w:val="0"/>
                <w:numId w:val="2"/>
              </w:numPr>
              <w:spacing w:after="40" w:before="40"/>
            </w:pPr>
            <w:r>
              <w:rPr>
                <w:rFonts w:ascii="Arial" w:cs="Arial" w:eastAsia="Arial" w:hAnsi="Arial"/>
                <w:sz w:val="22"/>
                <w:szCs w:val="22"/>
              </w:rPr>
              <w:t xml:space="preserve">IBM Container Registry: Images mirrored to eu.icr.io namespace on every push; no manual synchronization required</w:t>
            </w:r>
          </w:p>
          <w:p>
            <w:pPr>
              <w:pStyle w:val="ListParagraph"/>
              <w:numPr>
                <w:ilvl w:val="0"/>
                <w:numId w:val="2"/>
              </w:numPr>
              <w:spacing w:after="40" w:before="40"/>
            </w:pPr>
            <w:r>
              <w:rPr>
                <w:rFonts w:ascii="Arial" w:cs="Arial" w:eastAsia="Arial" w:hAnsi="Arial"/>
                <w:sz w:val="22"/>
                <w:szCs w:val="22"/>
              </w:rPr>
              <w:t xml:space="preserve">Redis: No cross-region replication (ephemeral cache); warm-up from PostgreSQL on DR activation takes &lt; 5 minutes</w:t>
            </w:r>
          </w:p>
          <w:p>
            <w:pPr>
              <w:pStyle w:val="ListParagraph"/>
              <w:numPr>
                <w:ilvl w:val="0"/>
                <w:numId w:val="2"/>
              </w:numPr>
              <w:spacing w:after="40" w:before="40"/>
            </w:pPr>
            <w:r>
              <w:rPr>
                <w:rFonts w:ascii="Arial" w:cs="Arial" w:eastAsia="Arial" w:hAnsi="Arial"/>
                <w:sz w:val="22"/>
                <w:szCs w:val="22"/>
              </w:rPr>
              <w:t xml:space="preserve">On-premises data: IBM Satellite agent streams inventory and order events to cloud event log; last 60 minutes recoverable from IBM Event Streams</w:t>
            </w:r>
          </w:p>
        </w:tc>
      </w:tr>
    </w:tbl>
    <w:p>
      <w:pPr>
        <w:spacing w:after="0" w:before="120"/>
      </w:pPr>
      <w:r>
        <w:t xml:space="preserve"/>
      </w:r>
    </w:p>
    <w:p>
      <w:pPr>
        <w:pStyle w:val="Heading2"/>
        <w:spacing w:after="130" w:before="280"/>
      </w:pPr>
      <w:r>
        <w:rPr>
          <w:rFonts w:ascii="Arial" w:cs="Arial" w:eastAsia="Arial" w:hAnsi="Arial"/>
          <w:b/>
          <w:bCs/>
          <w:color w:val="2E75B6"/>
          <w:sz w:val="26"/>
          <w:szCs w:val="26"/>
        </w:rPr>
        <w:t xml:space="preserve">2.3  Recovery Procedure</w:t>
      </w:r>
    </w:p>
    <w:p>
      <w:pPr>
        <w:spacing w:after="100" w:before="80"/>
      </w:pPr>
      <w:r>
        <w:rPr>
          <w:rFonts w:ascii="Arial" w:cs="Arial" w:eastAsia="Arial" w:hAnsi="Arial"/>
          <w:sz w:val="22"/>
          <w:szCs w:val="22"/>
        </w:rPr>
        <w:t xml:space="preserve">The following procedure defines the sequence of steps executed when a US-South regional failure is confirmed. The procedure is automated where possible via IBM Satellite runbook automation; manual steps require authorization from the DevOps Engineering Lead and are documented for audit purposes.</w:t>
      </w:r>
    </w:p>
    <w:p>
      <w:pPr>
        <w:spacing w:after="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60"/>
        <w:gridCol w:w="3200"/>
        <w:gridCol w:w="1440"/>
        <w:gridCol w:w="2360"/>
        <w:gridCol w:w="1000"/>
      </w:tblGrid>
      <w:tr>
        <w:trPr>
          <w:tblHeader/>
        </w:trPr>
        <w:tc>
          <w:tcPr>
            <w:tcW w:type="dxa" w:w="36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Step</w:t>
            </w:r>
          </w:p>
        </w:tc>
        <w:tc>
          <w:tcPr>
            <w:tcW w:type="dxa" w:w="32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144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c>
          <w:tcPr>
            <w:tcW w:type="dxa" w:w="236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Tool / Mechanism</w:t>
            </w:r>
          </w:p>
        </w:tc>
        <w:tc>
          <w:tcPr>
            <w:tcW w:type="dxa" w:w="10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 Time</w:t>
            </w:r>
          </w:p>
        </w:tc>
      </w:tr>
      <w:tr>
        <w:tc>
          <w:tcPr>
            <w:tcW w:type="dxa" w:w="3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1</w:t>
            </w:r>
          </w:p>
        </w:tc>
        <w:tc>
          <w:tcPr>
            <w:tcW w:type="dxa" w:w="3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Detect failure: CIS health check returns non-200 for 3 consecutive probes over 2 minutes</w:t>
            </w:r>
          </w:p>
        </w:tc>
        <w:tc>
          <w:tcPr>
            <w:tcW w:type="dxa" w:w="144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Automated</w:t>
            </w:r>
          </w:p>
        </w:tc>
        <w:tc>
          <w:tcPr>
            <w:tcW w:type="dxa" w:w="23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IBM CIS health monitoring</w:t>
            </w:r>
          </w:p>
        </w:tc>
        <w:tc>
          <w:tcPr>
            <w:tcW w:type="dxa" w:w="10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T+0:02</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Alert fired to on-call SRE via PagerDuty; incident channel opened in Slack</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Automated</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IBM Cloud Monitoring + PagerDuty integration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T+0:03</w:t>
            </w:r>
          </w:p>
        </w:tc>
      </w:tr>
      <w:tr>
        <w:tc>
          <w:tcPr>
            <w:tcW w:type="dxa" w:w="3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3</w:t>
            </w:r>
          </w:p>
        </w:tc>
        <w:tc>
          <w:tcPr>
            <w:tcW w:type="dxa" w:w="3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Confirm regional outage scope; rule out application-level cause</w:t>
            </w:r>
          </w:p>
        </w:tc>
        <w:tc>
          <w:tcPr>
            <w:tcW w:type="dxa" w:w="144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SRE On-Call</w:t>
            </w:r>
          </w:p>
        </w:tc>
        <w:tc>
          <w:tcPr>
            <w:tcW w:type="dxa" w:w="23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IBM Cloud Monitoring dashboards</w:t>
            </w:r>
          </w:p>
        </w:tc>
        <w:tc>
          <w:tcPr>
            <w:tcW w:type="dxa" w:w="10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T+0:15</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Authorize DR activation; notify DevOps Lead and VP E-Commerce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SRE Lead</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Incident management runbook</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T+0:20</w:t>
            </w:r>
          </w:p>
        </w:tc>
      </w:tr>
      <w:tr>
        <w:tc>
          <w:tcPr>
            <w:tcW w:type="dxa" w:w="3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5</w:t>
            </w:r>
          </w:p>
        </w:tc>
        <w:tc>
          <w:tcPr>
            <w:tcW w:type="dxa" w:w="3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CIS DNS failover executes: traffic redirected to Frankfurt standby</w:t>
            </w:r>
          </w:p>
        </w:tc>
        <w:tc>
          <w:tcPr>
            <w:tcW w:type="dxa" w:w="144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Automated</w:t>
            </w:r>
          </w:p>
        </w:tc>
        <w:tc>
          <w:tcPr>
            <w:tcW w:type="dxa" w:w="23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IBM CIS DNS failover rule</w:t>
            </w:r>
          </w:p>
        </w:tc>
        <w:tc>
          <w:tcPr>
            <w:tcW w:type="dxa" w:w="10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T+0:22</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IBM Satellite promotes Frankfurt standby services to active; scales HPA to full capacity</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Automated</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IBM Satellite runbook automation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T+0:45</w:t>
            </w:r>
          </w:p>
        </w:tc>
      </w:tr>
      <w:tr>
        <w:tc>
          <w:tcPr>
            <w:tcW w:type="dxa" w:w="3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7</w:t>
            </w:r>
          </w:p>
        </w:tc>
        <w:tc>
          <w:tcPr>
            <w:tcW w:type="dxa" w:w="3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PostgreSQL standby promoted to primary in Frankfurt; application connection strings updated</w:t>
            </w:r>
          </w:p>
        </w:tc>
        <w:tc>
          <w:tcPr>
            <w:tcW w:type="dxa" w:w="144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Automated</w:t>
            </w:r>
          </w:p>
        </w:tc>
        <w:tc>
          <w:tcPr>
            <w:tcW w:type="dxa" w:w="23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IBM Cloud Databases automated promotion</w:t>
            </w:r>
          </w:p>
        </w:tc>
        <w:tc>
          <w:tcPr>
            <w:tcW w:type="dxa" w:w="10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T+1:00</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Smoke tests executed against Frankfurt endpoints; HTTP 200 confirmed on all critical paths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Automated</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CI/CD pipeline smoke test suite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T+1:15</w:t>
            </w:r>
          </w:p>
        </w:tc>
      </w:tr>
      <w:tr>
        <w:tc>
          <w:tcPr>
            <w:tcW w:type="dxa" w:w="3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9</w:t>
            </w:r>
          </w:p>
        </w:tc>
        <w:tc>
          <w:tcPr>
            <w:tcW w:type="dxa" w:w="3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Incident declared resolved; stakeholder notification sent via Slack and email</w:t>
            </w:r>
          </w:p>
        </w:tc>
        <w:tc>
          <w:tcPr>
            <w:tcW w:type="dxa" w:w="144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SRE Lead</w:t>
            </w:r>
          </w:p>
        </w:tc>
        <w:tc>
          <w:tcPr>
            <w:tcW w:type="dxa" w:w="23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Slack webhook + email distribution list</w:t>
            </w:r>
          </w:p>
        </w:tc>
        <w:tc>
          <w:tcPr>
            <w:tcW w:type="dxa" w:w="10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T+1:30</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Post-incident review scheduled; runbook updated with lessons learned</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DevOps Lead</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Confluence incident template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T+48:00</w:t>
            </w:r>
          </w:p>
        </w:tc>
      </w:tr>
    </w:tbl>
    <w:p>
      <w:pPr>
        <w:spacing w:after="0" w:before="80"/>
      </w:pPr>
      <w:r>
        <w:t xml:space="preserve"/>
      </w:r>
    </w:p>
    <w:p>
      <w:pPr>
        <w:spacing w:after="100" w:before="80"/>
      </w:pPr>
      <w:r>
        <w:rPr>
          <w:rFonts w:ascii="Arial" w:cs="Arial" w:eastAsia="Arial" w:hAnsi="Arial"/>
          <w:sz w:val="22"/>
          <w:szCs w:val="22"/>
        </w:rPr>
        <w:t xml:space="preserve">Based on this procedure, the expected RTO is approximately 1 hour 30 minutes under normal DR conditions — well within the 4-hour RTO target. This margin provides buffer for steps that require manual authorization or take longer than expected under degraded conditions.</w:t>
      </w:r>
    </w:p>
    <w:p>
      <w:pPr>
        <w:spacing w:after="0" w:before="120"/>
      </w:pPr>
      <w:r>
        <w:t xml:space="preserve"/>
      </w:r>
    </w:p>
    <w:p>
      <w:pPr>
        <w:pStyle w:val="Heading2"/>
        <w:spacing w:after="130" w:before="280"/>
      </w:pPr>
      <w:r>
        <w:rPr>
          <w:rFonts w:ascii="Arial" w:cs="Arial" w:eastAsia="Arial" w:hAnsi="Arial"/>
          <w:b/>
          <w:bCs/>
          <w:color w:val="2E75B6"/>
          <w:sz w:val="26"/>
          <w:szCs w:val="26"/>
        </w:rPr>
        <w:t xml:space="preserve">2.4  DR Testing and Validation</w:t>
      </w:r>
    </w:p>
    <w:p>
      <w:pPr>
        <w:spacing w:after="100" w:before="80"/>
      </w:pPr>
      <w:r>
        <w:rPr>
          <w:rFonts w:ascii="Arial" w:cs="Arial" w:eastAsia="Arial" w:hAnsi="Arial"/>
          <w:sz w:val="22"/>
          <w:szCs w:val="22"/>
        </w:rPr>
        <w:t xml:space="preserve">A disaster recovery strategy that has not been tested is not a recovery strategy — it is a hypothesis. The following testing cadence is mandatory and must be completed and documented before each major trading event (Black Friday, seasonal sales launches).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760"/>
        <w:gridCol w:w="2200"/>
        <w:gridCol w:w="1000"/>
      </w:tblGrid>
      <w:tr>
        <w:trPr>
          <w:tblHeader/>
        </w:trPr>
        <w:tc>
          <w:tcPr>
            <w:tcW w:type="dxa" w:w="22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Test Type</w:t>
            </w:r>
          </w:p>
        </w:tc>
        <w:tc>
          <w:tcPr>
            <w:tcW w:type="dxa" w:w="12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Frequency</w:t>
            </w:r>
          </w:p>
        </w:tc>
        <w:tc>
          <w:tcPr>
            <w:tcW w:type="dxa" w:w="276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Scope</w:t>
            </w:r>
          </w:p>
        </w:tc>
        <w:tc>
          <w:tcPr>
            <w:tcW w:type="dxa" w:w="22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Success Criteria</w:t>
            </w:r>
          </w:p>
        </w:tc>
        <w:tc>
          <w:tcPr>
            <w:tcW w:type="dxa" w:w="10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0F5FF"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Full regional failover drill</w:t>
            </w:r>
          </w:p>
        </w:tc>
        <w:tc>
          <w:tcPr>
            <w:tcW w:type="dxa" w:w="12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Quarterly</w:t>
            </w:r>
          </w:p>
        </w:tc>
        <w:tc>
          <w:tcPr>
            <w:tcW w:type="dxa" w:w="276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Complete failover from US-South to Frankfurt; all services promoted; smoke tests pass</w:t>
            </w:r>
          </w:p>
        </w:tc>
        <w:tc>
          <w:tcPr>
            <w:tcW w:type="dxa" w:w="22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RTO achieved in &lt; 4h; RPO confirmed &lt; 1h; zero data loss beyond threshold</w:t>
            </w:r>
          </w:p>
        </w:tc>
        <w:tc>
          <w:tcPr>
            <w:tcW w:type="dxa" w:w="10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center"/>
          </w:tcPr>
          <w:p>
            <w:pPr>
              <w:jc w:val="center"/>
            </w:pPr>
            <w:r>
              <w:rPr>
                <w:rFonts w:ascii="Arial" w:cs="Arial" w:eastAsia="Arial" w:hAnsi="Arial"/>
                <w:b/>
                <w:bCs/>
                <w:color w:val="7B1515"/>
                <w:sz w:val="20"/>
                <w:szCs w:val="20"/>
              </w:rPr>
              <w:t xml:space="preserve">Critical</w:t>
            </w:r>
          </w:p>
        </w:tc>
      </w:tr>
      <w:tr>
        <w:tc>
          <w:tcPr>
            <w:tcW w:type="dxa" w:w="22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Partial failover — single zone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Monthly</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Simulate loss of one availability zone within US-South; verify HPA and pod rescheduling</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No user-visible errors; pod rescheduling completes in &lt; 5 minutes</w:t>
            </w:r>
          </w:p>
        </w:tc>
        <w:tc>
          <w:tcPr>
            <w:tcW w:type="dxa" w:w="10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center"/>
          </w:tcPr>
          <w:p>
            <w:pPr>
              <w:jc w:val="center"/>
            </w:pPr>
            <w:r>
              <w:rPr>
                <w:rFonts w:ascii="Arial" w:cs="Arial" w:eastAsia="Arial" w:hAnsi="Arial"/>
                <w:b/>
                <w:bCs/>
                <w:color w:val="7B1515"/>
                <w:sz w:val="20"/>
                <w:szCs w:val="20"/>
              </w:rPr>
              <w:t xml:space="preserve">Critical</w:t>
            </w:r>
          </w:p>
        </w:tc>
      </w:tr>
      <w:tr>
        <w:tc>
          <w:tcPr>
            <w:tcW w:type="dxa" w:w="2200"/>
            <w:tcBorders>
              <w:top w:val="single" w:color="CCCCCC" w:sz="1"/>
              <w:left w:val="single" w:color="CCCCCC" w:sz="1"/>
              <w:bottom w:val="single" w:color="CCCCCC" w:sz="1"/>
              <w:right w:val="single" w:color="CCCCCC" w:sz="1"/>
            </w:tcBorders>
            <w:shd w:fill="F0F5FF"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Database point-in-time restore</w:t>
            </w:r>
          </w:p>
        </w:tc>
        <w:tc>
          <w:tcPr>
            <w:tcW w:type="dxa" w:w="12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Monthly</w:t>
            </w:r>
          </w:p>
        </w:tc>
        <w:tc>
          <w:tcPr>
            <w:tcW w:type="dxa" w:w="276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Restore PostgreSQL to a specific point-in-time snapshot in an isolated environment</w:t>
            </w:r>
          </w:p>
        </w:tc>
        <w:tc>
          <w:tcPr>
            <w:tcW w:type="dxa" w:w="22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Restore completes within 30 minutes; data integrity verified against checksum</w:t>
            </w:r>
          </w:p>
        </w:tc>
        <w:tc>
          <w:tcPr>
            <w:tcW w:type="dxa" w:w="10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center"/>
          </w:tcPr>
          <w:p>
            <w:pPr>
              <w:jc w:val="center"/>
            </w:pPr>
            <w:r>
              <w:rPr>
                <w:rFonts w:ascii="Arial" w:cs="Arial" w:eastAsia="Arial" w:hAnsi="Arial"/>
                <w:b/>
                <w:bCs/>
                <w:color w:val="7B1515"/>
                <w:sz w:val="20"/>
                <w:szCs w:val="20"/>
              </w:rPr>
              <w:t xml:space="preserve">Critical</w:t>
            </w:r>
          </w:p>
        </w:tc>
      </w:tr>
      <w:tr>
        <w:tc>
          <w:tcPr>
            <w:tcW w:type="dxa" w:w="22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Backup integrity check</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Weekly</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Verify that all COS backup objects are readable and checksums match the source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100% of backup objects verified; no corruption detected</w:t>
            </w:r>
          </w:p>
        </w:tc>
        <w:tc>
          <w:tcPr>
            <w:tcW w:type="dxa" w:w="1000"/>
            <w:tcBorders>
              <w:top w:val="single" w:color="CCCCCC" w:sz="1"/>
              <w:left w:val="single" w:color="CCCCCC" w:sz="1"/>
              <w:bottom w:val="single" w:color="CCCCCC" w:sz="1"/>
              <w:right w:val="single" w:color="CCCCCC" w:sz="1"/>
            </w:tcBorders>
            <w:shd w:fill="FFF3E0" w:val="clear"/>
            <w:tcMar>
              <w:top w:type="dxa" w:w="70"/>
              <w:left w:type="dxa" w:w="110"/>
              <w:bottom w:type="dxa" w:w="70"/>
              <w:right w:type="dxa" w:w="110"/>
            </w:tcMar>
            <w:vAlign w:val="center"/>
          </w:tcPr>
          <w:p>
            <w:pPr>
              <w:jc w:val="center"/>
            </w:pPr>
            <w:r>
              <w:rPr>
                <w:rFonts w:ascii="Arial" w:cs="Arial" w:eastAsia="Arial" w:hAnsi="Arial"/>
                <w:b/>
                <w:bCs/>
                <w:color w:val="7F4B00"/>
                <w:sz w:val="20"/>
                <w:szCs w:val="20"/>
              </w:rPr>
              <w:t xml:space="preserve">Mandatory</w:t>
            </w:r>
          </w:p>
        </w:tc>
      </w:tr>
      <w:tr>
        <w:tc>
          <w:tcPr>
            <w:tcW w:type="dxa" w:w="2200"/>
            <w:tcBorders>
              <w:top w:val="single" w:color="CCCCCC" w:sz="1"/>
              <w:left w:val="single" w:color="CCCCCC" w:sz="1"/>
              <w:bottom w:val="single" w:color="CCCCCC" w:sz="1"/>
              <w:right w:val="single" w:color="CCCCCC" w:sz="1"/>
            </w:tcBorders>
            <w:shd w:fill="F0F5FF"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Runbook walkthrough review</w:t>
            </w:r>
          </w:p>
        </w:tc>
        <w:tc>
          <w:tcPr>
            <w:tcW w:type="dxa" w:w="12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Quarterly</w:t>
            </w:r>
          </w:p>
        </w:tc>
        <w:tc>
          <w:tcPr>
            <w:tcW w:type="dxa" w:w="276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SRE team walks through DR runbook and identifies gaps or outdated steps</w:t>
            </w:r>
          </w:p>
        </w:tc>
        <w:tc>
          <w:tcPr>
            <w:tcW w:type="dxa" w:w="22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Runbook updated and approved by DevOps Lead</w:t>
            </w:r>
          </w:p>
        </w:tc>
        <w:tc>
          <w:tcPr>
            <w:tcW w:type="dxa" w:w="1000"/>
            <w:tcBorders>
              <w:top w:val="single" w:color="CCCCCC" w:sz="1"/>
              <w:left w:val="single" w:color="CCCCCC" w:sz="1"/>
              <w:bottom w:val="single" w:color="CCCCCC" w:sz="1"/>
              <w:right w:val="single" w:color="CCCCCC" w:sz="1"/>
            </w:tcBorders>
            <w:shd w:fill="FFF3E0" w:val="clear"/>
            <w:tcMar>
              <w:top w:type="dxa" w:w="70"/>
              <w:left w:type="dxa" w:w="110"/>
              <w:bottom w:type="dxa" w:w="70"/>
              <w:right w:type="dxa" w:w="110"/>
            </w:tcMar>
            <w:vAlign w:val="center"/>
          </w:tcPr>
          <w:p>
            <w:pPr>
              <w:jc w:val="center"/>
            </w:pPr>
            <w:r>
              <w:rPr>
                <w:rFonts w:ascii="Arial" w:cs="Arial" w:eastAsia="Arial" w:hAnsi="Arial"/>
                <w:b/>
                <w:bCs/>
                <w:color w:val="7F4B00"/>
                <w:sz w:val="20"/>
                <w:szCs w:val="20"/>
              </w:rPr>
              <w:t xml:space="preserve">Mandatory</w:t>
            </w:r>
          </w:p>
        </w:tc>
      </w:tr>
    </w:tbl>
    <w:p>
      <w:pPr>
        <w:spacing w:after="0" w:before="80"/>
      </w:pPr>
      <w:r>
        <w:t xml:space="preserve"/>
      </w:r>
    </w:p>
    <w:p>
      <w:pPr>
        <w:pStyle w:val="Heading1"/>
        <w:spacing w:after="180" w:before="440"/>
      </w:pPr>
      <w:r>
        <w:rPr>
          <w:rFonts w:ascii="Arial" w:cs="Arial" w:eastAsia="Arial" w:hAnsi="Arial"/>
          <w:b/>
          <w:bCs/>
          <w:color w:val="1F4E79"/>
          <w:sz w:val="34"/>
          <w:szCs w:val="34"/>
        </w:rPr>
        <w:t xml:space="preserve">Identity and access management</w:t>
      </w:r>
    </w:p>
    <w:p>
      <w:pPr>
        <w:spacing w:after="100" w:before="80"/>
      </w:pPr>
      <w:r>
        <w:rPr>
          <w:rFonts w:ascii="Arial" w:cs="Arial" w:eastAsia="Arial" w:hAnsi="Arial"/>
          <w:sz w:val="22"/>
          <w:szCs w:val="22"/>
        </w:rPr>
        <w:t xml:space="preserve">Identity and Access Management (IAM) controls define who can access platform resources, under what conditions, and with what level of privilege. For the Global Retail Platform, IAM is a foundational compliance control that satisfies requirements from both GDPR (access to EU customer personal data must be restricted to authorized roles with a documented business need) and PCI-DSS (access to cardholder data environments must be tightly scoped and audited). All IAM policies follow the principle of least privilege: identities are granted only the permissions required to perform their defined function, and those permissions are reviewed and re-certified regularly.</w:t>
      </w:r>
    </w:p>
    <w:p>
      <w:pPr>
        <w:spacing w:after="0" w:before="80"/>
      </w:pPr>
      <w:r>
        <w:t xml:space="preserve"/>
      </w:r>
    </w:p>
    <w:p>
      <w:pPr>
        <w:pStyle w:val="Heading2"/>
        <w:spacing w:after="130" w:before="280"/>
      </w:pPr>
      <w:r>
        <w:rPr>
          <w:rFonts w:ascii="Arial" w:cs="Arial" w:eastAsia="Arial" w:hAnsi="Arial"/>
          <w:b/>
          <w:bCs/>
          <w:color w:val="2E75B6"/>
          <w:sz w:val="26"/>
          <w:szCs w:val="26"/>
        </w:rPr>
        <w:t xml:space="preserve">3.1  Role-Based Access Control</w:t>
      </w:r>
    </w:p>
    <w:p>
      <w:pPr>
        <w:spacing w:after="100" w:before="80"/>
      </w:pPr>
      <w:r>
        <w:rPr>
          <w:rFonts w:ascii="Arial" w:cs="Arial" w:eastAsia="Arial" w:hAnsi="Arial"/>
          <w:sz w:val="22"/>
          <w:szCs w:val="22"/>
        </w:rPr>
        <w:t xml:space="preserve">IBM Cloud Identity and Access Management enforces role-based access control across all cloud resources. Human identities are managed through IBM Cloud IAM federated with the organization's existing identity provider via SAML 2.0, enabling single sign-on while centralizing authentication policy (MFA enforcement, session timeout, password policy) in the enterprise IdP. Service-to-service communication within the Kubernetes cluster uses Kubernetes ServiceAccount tokens bound to RBAC roles with the minimum API permissions required for each workload.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760"/>
        <w:gridCol w:w="1200"/>
        <w:gridCol w:w="1200"/>
      </w:tblGrid>
      <w:tr>
        <w:trPr>
          <w:tblHeader/>
        </w:trPr>
        <w:tc>
          <w:tcPr>
            <w:tcW w:type="dxa" w:w="22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0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Scope</w:t>
            </w:r>
          </w:p>
        </w:tc>
        <w:tc>
          <w:tcPr>
            <w:tcW w:type="dxa" w:w="276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Permissions</w:t>
            </w:r>
          </w:p>
        </w:tc>
        <w:tc>
          <w:tcPr>
            <w:tcW w:type="dxa" w:w="12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MFA Required</w:t>
            </w:r>
          </w:p>
        </w:tc>
        <w:tc>
          <w:tcPr>
            <w:tcW w:type="dxa" w:w="12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Review Cadence</w:t>
            </w:r>
          </w:p>
        </w:tc>
      </w:tr>
      <w:tr>
        <w:tc>
          <w:tcPr>
            <w:tcW w:type="dxa" w:w="2200"/>
            <w:tcBorders>
              <w:top w:val="single" w:color="CCCCCC" w:sz="1"/>
              <w:left w:val="single" w:color="CCCCCC" w:sz="1"/>
              <w:bottom w:val="single" w:color="CCCCCC" w:sz="1"/>
              <w:right w:val="single" w:color="CCCCCC" w:sz="1"/>
            </w:tcBorders>
            <w:shd w:fill="F0F5FF"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DevOps Engineer</w:t>
            </w:r>
          </w:p>
        </w:tc>
        <w:tc>
          <w:tcPr>
            <w:tcW w:type="dxa" w:w="20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CI/CD pipeline, IKS clusters (non-prod)</w:t>
            </w:r>
          </w:p>
        </w:tc>
        <w:tc>
          <w:tcPr>
            <w:tcW w:type="dxa" w:w="276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Deploy to Dev and Staging; view Production logs; no Production kubectl exec</w:t>
            </w:r>
          </w:p>
        </w:tc>
        <w:tc>
          <w:tcPr>
            <w:tcW w:type="dxa" w:w="12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Quarterly</w:t>
            </w:r>
          </w:p>
        </w:tc>
      </w:tr>
      <w:tr>
        <w:tc>
          <w:tcPr>
            <w:tcW w:type="dxa" w:w="22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DevOps Lead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All IKS clusters, IBM Toolchain</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Approve Staging and Production deployments; kubectl access to all namespaces; pipeline configuration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Quarterly</w:t>
            </w:r>
          </w:p>
        </w:tc>
      </w:tr>
      <w:tr>
        <w:tc>
          <w:tcPr>
            <w:tcW w:type="dxa" w:w="2200"/>
            <w:tcBorders>
              <w:top w:val="single" w:color="CCCCCC" w:sz="1"/>
              <w:left w:val="single" w:color="CCCCCC" w:sz="1"/>
              <w:bottom w:val="single" w:color="CCCCCC" w:sz="1"/>
              <w:right w:val="single" w:color="CCCCCC" w:sz="1"/>
            </w:tcBorders>
            <w:shd w:fill="F0F5FF"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Security &amp; Compliance Director</w:t>
            </w:r>
          </w:p>
        </w:tc>
        <w:tc>
          <w:tcPr>
            <w:tcW w:type="dxa" w:w="20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Read-only across all environments</w:t>
            </w:r>
          </w:p>
        </w:tc>
        <w:tc>
          <w:tcPr>
            <w:tcW w:type="dxa" w:w="276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View all audit logs, scan reports, IAM policies; approve Production deployments; no write access</w:t>
            </w:r>
          </w:p>
        </w:tc>
        <w:tc>
          <w:tcPr>
            <w:tcW w:type="dxa" w:w="12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Quarterly</w:t>
            </w:r>
          </w:p>
        </w:tc>
      </w:tr>
      <w:tr>
        <w:tc>
          <w:tcPr>
            <w:tcW w:type="dxa" w:w="22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SRE On-Call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Production cluster (read + limited write)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kubectl get/describe/logs; rollback authorization; no config changes; incident response only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Monthly</w:t>
            </w:r>
          </w:p>
        </w:tc>
      </w:tr>
      <w:tr>
        <w:tc>
          <w:tcPr>
            <w:tcW w:type="dxa" w:w="2200"/>
            <w:tcBorders>
              <w:top w:val="single" w:color="CCCCCC" w:sz="1"/>
              <w:left w:val="single" w:color="CCCCCC" w:sz="1"/>
              <w:bottom w:val="single" w:color="CCCCCC" w:sz="1"/>
              <w:right w:val="single" w:color="CCCCCC" w:sz="1"/>
            </w:tcBorders>
            <w:shd w:fill="F0F5FF"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Application Service Account</w:t>
            </w:r>
          </w:p>
        </w:tc>
        <w:tc>
          <w:tcPr>
            <w:tcW w:type="dxa" w:w="20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Own namespace only</w:t>
            </w:r>
          </w:p>
        </w:tc>
        <w:tc>
          <w:tcPr>
            <w:tcW w:type="dxa" w:w="276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Read ConfigMaps and Secrets in own namespace; no cross-namespace access; no cluster-level permissions</w:t>
            </w:r>
          </w:p>
        </w:tc>
        <w:tc>
          <w:tcPr>
            <w:tcW w:type="dxa" w:w="12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N/A</w:t>
            </w:r>
          </w:p>
        </w:tc>
        <w:tc>
          <w:tcPr>
            <w:tcW w:type="dxa" w:w="12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On change</w:t>
            </w:r>
          </w:p>
        </w:tc>
      </w:tr>
      <w:tr>
        <w:tc>
          <w:tcPr>
            <w:tcW w:type="dxa" w:w="22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CI/CD Pipeline Agent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IBM Container Registry, IKS deploy API</w:t>
            </w:r>
          </w:p>
        </w:tc>
        <w:tc>
          <w:tcPr>
            <w:tcW w:type="dxa" w:w="2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Push images to ICR; kubectl set image in target namespace; read build secrets from Secrets Manager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N/A — API key</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Quarterly</w:t>
            </w:r>
          </w:p>
        </w:tc>
      </w:tr>
      <w:tr>
        <w:tc>
          <w:tcPr>
            <w:tcW w:type="dxa" w:w="2200"/>
            <w:tcBorders>
              <w:top w:val="single" w:color="CCCCCC" w:sz="1"/>
              <w:left w:val="single" w:color="CCCCCC" w:sz="1"/>
              <w:bottom w:val="single" w:color="CCCCCC" w:sz="1"/>
              <w:right w:val="single" w:color="CCCCCC" w:sz="1"/>
            </w:tcBorders>
            <w:shd w:fill="F0F5FF"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Data Analyst (Read-Only)</w:t>
            </w:r>
          </w:p>
        </w:tc>
        <w:tc>
          <w:tcPr>
            <w:tcW w:type="dxa" w:w="20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Observability dashboards only</w:t>
            </w:r>
          </w:p>
        </w:tc>
        <w:tc>
          <w:tcPr>
            <w:tcW w:type="dxa" w:w="276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Read IBM Cloud Monitoring dashboards; no access to raw log data containing PII; no cluster access</w:t>
            </w:r>
          </w:p>
        </w:tc>
        <w:tc>
          <w:tcPr>
            <w:tcW w:type="dxa" w:w="12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Yes</w:t>
            </w:r>
          </w:p>
        </w:tc>
        <w:tc>
          <w:tcPr>
            <w:tcW w:type="dxa" w:w="12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Quarterly</w:t>
            </w:r>
          </w:p>
        </w:tc>
      </w:tr>
    </w:tbl>
    <w:p>
      <w:pPr>
        <w:spacing w:after="0" w:before="120"/>
      </w:pPr>
      <w:r>
        <w:t xml:space="preserve"/>
      </w:r>
    </w:p>
    <w:p>
      <w:pPr>
        <w:pStyle w:val="Heading2"/>
        <w:spacing w:after="130" w:before="280"/>
      </w:pPr>
      <w:r>
        <w:rPr>
          <w:rFonts w:ascii="Arial" w:cs="Arial" w:eastAsia="Arial" w:hAnsi="Arial"/>
          <w:b/>
          <w:bCs/>
          <w:color w:val="2E75B6"/>
          <w:sz w:val="26"/>
          <w:szCs w:val="26"/>
        </w:rPr>
        <w:t xml:space="preserve">3.2  Least-Privilege Enforcement</w:t>
      </w:r>
    </w:p>
    <w:p>
      <w:pPr>
        <w:spacing w:after="100" w:before="80"/>
      </w:pPr>
      <w:r>
        <w:rPr>
          <w:rFonts w:ascii="Arial" w:cs="Arial" w:eastAsia="Arial" w:hAnsi="Arial"/>
          <w:sz w:val="22"/>
          <w:szCs w:val="22"/>
        </w:rPr>
        <w:t xml:space="preserve">Least privilege is enforced at four layers: IBM Cloud IAM resource group policies, Kubernetes RBAC within IKS clusters, Kubernetes NetworkPolicy for pod-to-pod communication, and Istio AuthorizationPolicy for service mesh traffic. Each layer independently restricts access, so a misconfiguration at one layer does not automatically grant access through another.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560"/>
        <w:gridCol w:w="2200"/>
      </w:tblGrid>
      <w:tr>
        <w:trPr>
          <w:tblHeader/>
        </w:trPr>
        <w:tc>
          <w:tcPr>
            <w:tcW w:type="dxa" w:w="20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Layer</w:t>
            </w:r>
          </w:p>
        </w:tc>
        <w:tc>
          <w:tcPr>
            <w:tcW w:type="dxa" w:w="26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Mechanism</w:t>
            </w:r>
          </w:p>
        </w:tc>
        <w:tc>
          <w:tcPr>
            <w:tcW w:type="dxa" w:w="256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It Restricts</w:t>
            </w:r>
          </w:p>
        </w:tc>
        <w:tc>
          <w:tcPr>
            <w:tcW w:type="dxa" w:w="22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Enforcement Point</w:t>
            </w:r>
          </w:p>
        </w:tc>
      </w:tr>
      <w:tr>
        <w:tc>
          <w:tcPr>
            <w:tcW w:type="dxa" w:w="20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Cloud Resource Access</w:t>
            </w:r>
          </w:p>
        </w:tc>
        <w:tc>
          <w:tcPr>
            <w:tcW w:type="dxa" w:w="2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IBM Cloud IAM resource group policies + access groups</w:t>
            </w:r>
          </w:p>
        </w:tc>
        <w:tc>
          <w:tcPr>
            <w:tcW w:type="dxa" w:w="25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Which identities can manage cloud services (IKS, COS, ICR, Secrets Manager)</w:t>
            </w:r>
          </w:p>
        </w:tc>
        <w:tc>
          <w:tcPr>
            <w:tcW w:type="dxa" w:w="2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IBM Cloud IAM control plane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Kubernetes API</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Kubernetes RBAC (Role + RoleBinding per namespace)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Which ServiceAccounts and human users can call the Kubernetes API and with which verbs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kube-apiserver admission</w:t>
            </w:r>
          </w:p>
        </w:tc>
      </w:tr>
      <w:tr>
        <w:tc>
          <w:tcPr>
            <w:tcW w:type="dxa" w:w="20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Network (pod-to-pod)</w:t>
            </w:r>
          </w:p>
        </w:tc>
        <w:tc>
          <w:tcPr>
            <w:tcW w:type="dxa" w:w="2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Kubernetes NetworkPolicy (default-deny per namespace)</w:t>
            </w:r>
          </w:p>
        </w:tc>
        <w:tc>
          <w:tcPr>
            <w:tcW w:type="dxa" w:w="25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Which pods may initiate TCP connections to which other pods, on which ports</w:t>
            </w:r>
          </w:p>
        </w:tc>
        <w:tc>
          <w:tcPr>
            <w:tcW w:type="dxa" w:w="2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Calico CNI policy engine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Service Mesh (L7)</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Istio AuthorizationPolicy (per-service allow-list)</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Which source service principals may call which HTTP methods on which paths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Istio sidecar proxy</w:t>
            </w:r>
          </w:p>
        </w:tc>
      </w:tr>
      <w:tr>
        <w:tc>
          <w:tcPr>
            <w:tcW w:type="dxa" w:w="20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Secrets Access</w:t>
            </w:r>
          </w:p>
        </w:tc>
        <w:tc>
          <w:tcPr>
            <w:tcW w:type="dxa" w:w="2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IBM Secrets Manager with IAM-scoped service IDs</w:t>
            </w:r>
          </w:p>
        </w:tc>
        <w:tc>
          <w:tcPr>
            <w:tcW w:type="dxa" w:w="25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Which workloads may retrieve which named secrets; rotation managed by Secrets Manager</w:t>
            </w:r>
          </w:p>
        </w:tc>
        <w:tc>
          <w:tcPr>
            <w:tcW w:type="dxa" w:w="2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IBM Secrets Manager API</w:t>
            </w:r>
          </w:p>
        </w:tc>
      </w:tr>
    </w:tbl>
    <w:p>
      <w:pPr>
        <w:spacing w:after="0" w:before="120"/>
      </w:pPr>
      <w:r>
        <w:t xml:space="preserve"/>
      </w:r>
    </w:p>
    <w:p>
      <w:pPr>
        <w:pStyle w:val="Heading2"/>
        <w:spacing w:after="130" w:before="280"/>
      </w:pPr>
      <w:r>
        <w:rPr>
          <w:rFonts w:ascii="Arial" w:cs="Arial" w:eastAsia="Arial" w:hAnsi="Arial"/>
          <w:b/>
          <w:bCs/>
          <w:color w:val="2E75B6"/>
          <w:sz w:val="26"/>
          <w:szCs w:val="26"/>
        </w:rPr>
        <w:t xml:space="preserve">3.3  Identity Federation and Single Sign-On</w:t>
      </w:r>
    </w:p>
    <w:p>
      <w:pPr>
        <w:spacing w:after="100" w:before="80"/>
      </w:pPr>
      <w:r>
        <w:rPr>
          <w:rFonts w:ascii="Arial" w:cs="Arial" w:eastAsia="Arial" w:hAnsi="Arial"/>
          <w:sz w:val="22"/>
          <w:szCs w:val="22"/>
        </w:rPr>
        <w:t xml:space="preserve">Human access to IBM Cloud is federated through the organization's enterprise identity provider (IdP) via SAML 2.0. This means that IBM Cloud IAM trusts the enterprise IdP to authenticate users; no separate IBM Cloud passwords are maintained for human identities. Multi-factor authentication (MFA) is enforced at the IdP layer for all users, and session tokens issued by IBM Cloud IAM are valid for a maximum of 8 hours before re-authentication is required. This approach ensures that MFA policy, account lifecycle management, and access revocation are controlled from a single authoritative source — the enterprise IdP — reducing the risk of orphaned accounts following employee offboarding.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7F4B00" w:sz="1"/>
              <w:left w:val="single" w:color="7F4B00" w:sz="1"/>
              <w:bottom w:val="single" w:color="7F4B00" w:sz="1"/>
              <w:right w:val="none" w:color="FFF3E0" w:sz="0"/>
            </w:tcBorders>
            <w:shd w:fill="7F4B00" w:val="clear"/>
            <w:tcMar>
              <w:top w:type="dxa" w:w="0"/>
              <w:left w:type="dxa" w:w="0"/>
              <w:bottom w:type="dxa" w:w="0"/>
              <w:right w:type="dxa" w:w="0"/>
            </w:tcMar>
          </w:tcPr>
          <w:p>
            <w:r>
              <w:t xml:space="preserve"/>
            </w:r>
          </w:p>
        </w:tc>
        <w:tc>
          <w:tcPr>
            <w:tcW w:type="dxa" w:w="9120"/>
            <w:tcBorders>
              <w:top w:val="single" w:color="7F4B00" w:sz="1"/>
              <w:left w:val="none" w:color="FFF3E0" w:sz="0"/>
              <w:bottom w:val="single" w:color="7F4B00" w:sz="1"/>
              <w:right w:val="single" w:color="7F4B00" w:sz="1"/>
            </w:tcBorders>
            <w:shd w:fill="FFF3E0" w:val="clear"/>
            <w:tcMar>
              <w:top w:type="dxa" w:w="140"/>
              <w:left w:type="dxa" w:w="200"/>
              <w:bottom w:type="dxa" w:w="140"/>
              <w:right w:type="dxa" w:w="200"/>
            </w:tcMar>
          </w:tcPr>
          <w:p>
            <w:pPr>
              <w:spacing w:after="80" w:before="0"/>
            </w:pPr>
            <w:r>
              <w:rPr>
                <w:rFonts w:ascii="Arial" w:cs="Arial" w:eastAsia="Arial" w:hAnsi="Arial"/>
                <w:b/>
                <w:bCs/>
                <w:color w:val="7F4B00"/>
                <w:sz w:val="23"/>
                <w:szCs w:val="23"/>
              </w:rPr>
              <w:t xml:space="preserve">Federation Configuration Requirements</w:t>
            </w:r>
          </w:p>
          <w:p>
            <w:pPr>
              <w:pStyle w:val="ListParagraph"/>
              <w:numPr>
                <w:ilvl w:val="0"/>
                <w:numId w:val="2"/>
              </w:numPr>
              <w:spacing w:after="40" w:before="40"/>
            </w:pPr>
            <w:r>
              <w:rPr>
                <w:rFonts w:ascii="Arial" w:cs="Arial" w:eastAsia="Arial" w:hAnsi="Arial"/>
                <w:sz w:val="22"/>
                <w:szCs w:val="22"/>
              </w:rPr>
              <w:t xml:space="preserve">SAML 2.0 federation between enterprise IdP (Azure AD / Okta) and IBM Cloud IAM</w:t>
            </w:r>
          </w:p>
          <w:p>
            <w:pPr>
              <w:pStyle w:val="ListParagraph"/>
              <w:numPr>
                <w:ilvl w:val="0"/>
                <w:numId w:val="2"/>
              </w:numPr>
              <w:spacing w:after="40" w:before="40"/>
            </w:pPr>
            <w:r>
              <w:rPr>
                <w:rFonts w:ascii="Arial" w:cs="Arial" w:eastAsia="Arial" w:hAnsi="Arial"/>
                <w:sz w:val="22"/>
                <w:szCs w:val="22"/>
              </w:rPr>
              <w:t xml:space="preserve">MFA enforced at IdP layer for all users: TOTP or hardware security key (FIDO2) required</w:t>
            </w:r>
          </w:p>
          <w:p>
            <w:pPr>
              <w:pStyle w:val="ListParagraph"/>
              <w:numPr>
                <w:ilvl w:val="0"/>
                <w:numId w:val="2"/>
              </w:numPr>
              <w:spacing w:after="40" w:before="40"/>
            </w:pPr>
            <w:r>
              <w:rPr>
                <w:rFonts w:ascii="Arial" w:cs="Arial" w:eastAsia="Arial" w:hAnsi="Arial"/>
                <w:sz w:val="22"/>
                <w:szCs w:val="22"/>
              </w:rPr>
              <w:t xml:space="preserve">Session token maximum lifetime: 8 hours for human users; 1 hour for CI/CD service IDs</w:t>
            </w:r>
          </w:p>
          <w:p>
            <w:pPr>
              <w:pStyle w:val="ListParagraph"/>
              <w:numPr>
                <w:ilvl w:val="0"/>
                <w:numId w:val="2"/>
              </w:numPr>
              <w:spacing w:after="40" w:before="40"/>
            </w:pPr>
            <w:r>
              <w:rPr>
                <w:rFonts w:ascii="Arial" w:cs="Arial" w:eastAsia="Arial" w:hAnsi="Arial"/>
                <w:sz w:val="22"/>
                <w:szCs w:val="22"/>
              </w:rPr>
              <w:t xml:space="preserve">Automatic account deprovisioning: IdP lifecycle event triggers IBM Cloud IAM access revocation within 1 hour</w:t>
            </w:r>
          </w:p>
          <w:p>
            <w:pPr>
              <w:pStyle w:val="ListParagraph"/>
              <w:numPr>
                <w:ilvl w:val="0"/>
                <w:numId w:val="2"/>
              </w:numPr>
              <w:spacing w:after="40" w:before="40"/>
            </w:pPr>
            <w:r>
              <w:rPr>
                <w:rFonts w:ascii="Arial" w:cs="Arial" w:eastAsia="Arial" w:hAnsi="Arial"/>
                <w:sz w:val="22"/>
                <w:szCs w:val="22"/>
              </w:rPr>
              <w:t xml:space="preserve">Privileged access (Production approval roles): requires just-in-time elevation with DevOps Lead co-authorization</w:t>
            </w:r>
          </w:p>
        </w:tc>
      </w:tr>
    </w:tbl>
    <w:p>
      <w:pPr>
        <w:spacing w:after="0" w:before="120"/>
      </w:pPr>
      <w:r>
        <w:t xml:space="preserve"/>
      </w:r>
    </w:p>
    <w:p>
      <w:pPr>
        <w:pStyle w:val="Heading2"/>
        <w:spacing w:after="130" w:before="280"/>
      </w:pPr>
      <w:r>
        <w:rPr>
          <w:rFonts w:ascii="Arial" w:cs="Arial" w:eastAsia="Arial" w:hAnsi="Arial"/>
          <w:b/>
          <w:bCs/>
          <w:color w:val="2E75B6"/>
          <w:sz w:val="26"/>
          <w:szCs w:val="26"/>
        </w:rPr>
        <w:t xml:space="preserve">3.4  Access Reviews and Certification</w:t>
      </w:r>
    </w:p>
    <w:p>
      <w:pPr>
        <w:spacing w:after="100" w:before="80"/>
      </w:pPr>
      <w:r>
        <w:rPr>
          <w:rFonts w:ascii="Arial" w:cs="Arial" w:eastAsia="Arial" w:hAnsi="Arial"/>
          <w:sz w:val="22"/>
          <w:szCs w:val="22"/>
        </w:rPr>
        <w:t xml:space="preserve">All role assignments are subject to a formal access review process. Quarterly access certification campaigns require role owners to review and re-confirm every active permission assignment within their scope. Any assignment not explicitly re-certified within the campaign window is automatically revoked. Access to Production environments and PCI-DSS-scoped resources is reviewed monthly. All review decisions — approvals and revocations — are recorded in the immutable IBM COS audit log and are available for inspection by the Security and Compliance Director and external auditors.</w:t>
      </w:r>
    </w:p>
    <w:p>
      <w:pPr>
        <w:spacing w:after="0" w:before="80"/>
      </w:pPr>
      <w:r>
        <w:t xml:space="preserve"/>
      </w:r>
    </w:p>
    <w:p>
      <w:pPr>
        <w:pStyle w:val="Heading1"/>
        <w:spacing w:after="180" w:before="440"/>
      </w:pPr>
      <w:r>
        <w:rPr>
          <w:rFonts w:ascii="Arial" w:cs="Arial" w:eastAsia="Arial" w:hAnsi="Arial"/>
          <w:b/>
          <w:bCs/>
          <w:color w:val="1F4E79"/>
          <w:sz w:val="34"/>
          <w:szCs w:val="34"/>
        </w:rPr>
        <w:t xml:space="preserve">Data protection</w:t>
      </w:r>
    </w:p>
    <w:p>
      <w:pPr>
        <w:spacing w:after="100" w:before="80"/>
      </w:pPr>
      <w:r>
        <w:rPr>
          <w:rFonts w:ascii="Arial" w:cs="Arial" w:eastAsia="Arial" w:hAnsi="Arial"/>
          <w:sz w:val="22"/>
          <w:szCs w:val="22"/>
        </w:rPr>
        <w:t xml:space="preserve">Data protection controls ensure that customer personal data, payment information, and operational records are secured against unauthorized access, accidental exposure, and regulatory non-compliance. The Global Retail Platform operates under two primary regulatory frameworks — GDPR for EU customer data and PCI-DSS for payment card data — each with distinct and non-overlapping data protection requirements. The controls described in this section satisfy both frameworks simultaneously through a layered approach: data residency enforcement, encryption at rest and in transit, key lifecycle management, and data classification.</w:t>
      </w:r>
    </w:p>
    <w:p>
      <w:pPr>
        <w:spacing w:after="0" w:before="80"/>
      </w:pPr>
      <w:r>
        <w:t xml:space="preserve"/>
      </w:r>
    </w:p>
    <w:p>
      <w:pPr>
        <w:pStyle w:val="Heading2"/>
        <w:spacing w:after="130" w:before="280"/>
      </w:pPr>
      <w:r>
        <w:rPr>
          <w:rFonts w:ascii="Arial" w:cs="Arial" w:eastAsia="Arial" w:hAnsi="Arial"/>
          <w:b/>
          <w:bCs/>
          <w:color w:val="2E75B6"/>
          <w:sz w:val="26"/>
          <w:szCs w:val="26"/>
        </w:rPr>
        <w:t xml:space="preserve">4.1  Data Classification</w:t>
      </w:r>
    </w:p>
    <w:p>
      <w:pPr>
        <w:spacing w:after="100" w:before="80"/>
      </w:pPr>
      <w:r>
        <w:rPr>
          <w:rFonts w:ascii="Arial" w:cs="Arial" w:eastAsia="Arial" w:hAnsi="Arial"/>
          <w:sz w:val="22"/>
          <w:szCs w:val="22"/>
        </w:rPr>
        <w:t xml:space="preserve">All data processed by the platform is classified into one of four tiers. Classification determines the encryption standard, storage location, access control level, and retention policy applied to that data. Classification is assigned at the point of data creation and is propagated through all downstream storage and processing systems.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160"/>
        <w:gridCol w:w="1800"/>
        <w:gridCol w:w="1200"/>
      </w:tblGrid>
      <w:tr>
        <w:trPr>
          <w:tblHeader/>
        </w:trPr>
        <w:tc>
          <w:tcPr>
            <w:tcW w:type="dxa" w:w="16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Classification</w:t>
            </w:r>
          </w:p>
        </w:tc>
        <w:tc>
          <w:tcPr>
            <w:tcW w:type="dxa" w:w="26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Examples</w:t>
            </w:r>
          </w:p>
        </w:tc>
        <w:tc>
          <w:tcPr>
            <w:tcW w:type="dxa" w:w="216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Encryption</w:t>
            </w:r>
          </w:p>
        </w:tc>
        <w:tc>
          <w:tcPr>
            <w:tcW w:type="dxa" w:w="18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Location Constraint</w:t>
            </w:r>
          </w:p>
        </w:tc>
        <w:tc>
          <w:tcPr>
            <w:tcW w:type="dxa" w:w="12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Access Control</w:t>
            </w:r>
          </w:p>
        </w:tc>
      </w:tr>
      <w:tr>
        <w:tc>
          <w:tcPr>
            <w:tcW w:type="dxa" w:w="1600"/>
            <w:tcBorders>
              <w:top w:val="single" w:color="CCCCCC" w:sz="1"/>
              <w:left w:val="single" w:color="CCCCCC" w:sz="1"/>
              <w:bottom w:val="single" w:color="CCCCCC" w:sz="1"/>
              <w:right w:val="single" w:color="CCCCCC" w:sz="1"/>
            </w:tcBorders>
            <w:shd w:fill="F0F5FF"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Restricted — PCI</w:t>
            </w:r>
          </w:p>
        </w:tc>
        <w:tc>
          <w:tcPr>
            <w:tcW w:type="dxa" w:w="26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Payment card numbers, CVVs, cardholder names, PANs</w:t>
            </w:r>
          </w:p>
        </w:tc>
        <w:tc>
          <w:tcPr>
            <w:tcW w:type="dxa" w:w="216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AES-256 at rest; TLS 1.3 in transit; HSM key management</w:t>
            </w:r>
          </w:p>
        </w:tc>
        <w:tc>
          <w:tcPr>
            <w:tcW w:type="dxa" w:w="18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On-premises PCI scope only; never in cloud logs or databases</w:t>
            </w:r>
          </w:p>
        </w:tc>
        <w:tc>
          <w:tcPr>
            <w:tcW w:type="dxa" w:w="12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PCI role only; MFA + audit log on every access</w:t>
            </w:r>
          </w:p>
        </w:tc>
      </w:tr>
      <w:tr>
        <w:tc>
          <w:tcPr>
            <w:tcW w:type="dxa" w:w="16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Restricted — PII</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EU customer names, email, address, order history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AES-256 at rest; TLS 1.3 in transit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IBM Cloud Frankfurt (EU) or on-prem EU DC only; GDPR residency enforced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Data custodian role; purpose-limited access; DSAR-capable</w:t>
            </w:r>
          </w:p>
        </w:tc>
      </w:tr>
      <w:tr>
        <w:tc>
          <w:tcPr>
            <w:tcW w:type="dxa" w:w="1600"/>
            <w:tcBorders>
              <w:top w:val="single" w:color="CCCCCC" w:sz="1"/>
              <w:left w:val="single" w:color="CCCCCC" w:sz="1"/>
              <w:bottom w:val="single" w:color="CCCCCC" w:sz="1"/>
              <w:right w:val="single" w:color="CCCCCC" w:sz="1"/>
            </w:tcBorders>
            <w:shd w:fill="F0F5FF"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Confidential</w:t>
            </w:r>
          </w:p>
        </w:tc>
        <w:tc>
          <w:tcPr>
            <w:tcW w:type="dxa" w:w="26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Internal pricing, supplier contracts, inventory thresholds</w:t>
            </w:r>
          </w:p>
        </w:tc>
        <w:tc>
          <w:tcPr>
            <w:tcW w:type="dxa" w:w="216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AES-256 at rest; TLS 1.3 in transit</w:t>
            </w:r>
          </w:p>
        </w:tc>
        <w:tc>
          <w:tcPr>
            <w:tcW w:type="dxa" w:w="18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Any approved environment</w:t>
            </w:r>
          </w:p>
        </w:tc>
        <w:tc>
          <w:tcPr>
            <w:tcW w:type="dxa" w:w="12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Internal roles only; no third-party access</w:t>
            </w:r>
          </w:p>
        </w:tc>
      </w:tr>
      <w:tr>
        <w:tc>
          <w:tcPr>
            <w:tcW w:type="dxa" w:w="16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Internal</w:t>
            </w:r>
          </w:p>
        </w:tc>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Application logs (non-PII), build artifacts, config files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AES-256 at rest; TLS in transit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Any approved environment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Authenticated users; read-only for most roles</w:t>
            </w:r>
          </w:p>
        </w:tc>
      </w:tr>
    </w:tbl>
    <w:p>
      <w:pPr>
        <w:spacing w:after="0" w:before="120"/>
      </w:pPr>
      <w:r>
        <w:t xml:space="preserve"/>
      </w:r>
    </w:p>
    <w:p>
      <w:pPr>
        <w:pStyle w:val="Heading2"/>
        <w:spacing w:after="130" w:before="280"/>
      </w:pPr>
      <w:r>
        <w:rPr>
          <w:rFonts w:ascii="Arial" w:cs="Arial" w:eastAsia="Arial" w:hAnsi="Arial"/>
          <w:b/>
          <w:bCs/>
          <w:color w:val="2E75B6"/>
          <w:sz w:val="26"/>
          <w:szCs w:val="26"/>
        </w:rPr>
        <w:t xml:space="preserve">4.2  Encryption at Rest</w:t>
      </w:r>
    </w:p>
    <w:p>
      <w:pPr>
        <w:spacing w:after="100" w:before="80"/>
      </w:pPr>
      <w:r>
        <w:rPr>
          <w:rFonts w:ascii="Arial" w:cs="Arial" w:eastAsia="Arial" w:hAnsi="Arial"/>
          <w:sz w:val="22"/>
          <w:szCs w:val="22"/>
        </w:rPr>
        <w:t xml:space="preserve">All data stored by the platform — across IBM Cloud Block Storage, Object Storage, File Storage, and managed databases — is encrypted at rest using AES-256. Encryption is enforced at the storage layer, meaning that data is encrypted before it is written to physical media, regardless of the application writing it. This provides protection against physical media theft and unauthorized storage-layer access.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960"/>
        <w:gridCol w:w="2400"/>
      </w:tblGrid>
      <w:tr>
        <w:trPr>
          <w:tblHeader/>
        </w:trPr>
        <w:tc>
          <w:tcPr>
            <w:tcW w:type="dxa" w:w="24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Storage Type</w:t>
            </w:r>
          </w:p>
        </w:tc>
        <w:tc>
          <w:tcPr>
            <w:tcW w:type="dxa" w:w="26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Technology</w:t>
            </w:r>
          </w:p>
        </w:tc>
        <w:tc>
          <w:tcPr>
            <w:tcW w:type="dxa" w:w="196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Encryption Standard</w:t>
            </w:r>
          </w:p>
        </w:tc>
        <w:tc>
          <w:tcPr>
            <w:tcW w:type="dxa" w:w="24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Management</w:t>
            </w:r>
          </w:p>
        </w:tc>
      </w:tr>
      <w:tr>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PostgreSQL transaction DB</w:t>
            </w:r>
          </w:p>
        </w:tc>
        <w:tc>
          <w:tcPr>
            <w:tcW w:type="dxa" w:w="2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IBM Cloud Databases for PostgreSQL</w:t>
            </w:r>
          </w:p>
        </w:tc>
        <w:tc>
          <w:tcPr>
            <w:tcW w:type="dxa" w:w="19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AES-256 (storage layer)</w:t>
            </w:r>
          </w:p>
        </w:tc>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IBM Key Protect — customer-managed root key; envelope encryption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Block storage (inventory, PII)</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IBM Cloud Block Storage</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AES-256 (provider-managed + BYOK option)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IBM Key Protect; PII volumes use customer-managed keys exclusively</w:t>
            </w:r>
          </w:p>
        </w:tc>
      </w:tr>
      <w:tr>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Object storage (COS)</w:t>
            </w:r>
          </w:p>
        </w:tc>
        <w:tc>
          <w:tcPr>
            <w:tcW w:type="dxa" w:w="2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IBM Cloud Object Storage</w:t>
            </w:r>
          </w:p>
        </w:tc>
        <w:tc>
          <w:tcPr>
            <w:tcW w:type="dxa" w:w="19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AES-256 (SSE-C for restricted data)</w:t>
            </w:r>
          </w:p>
        </w:tc>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IBM Key Protect; restricted buckets require customer-managed keys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Payment token vault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On-premises HSM-backed block volumes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AES-256 + HSM hardware key protection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On-prem HSM (FIPS 140-2 Level 3); keys never leave HSM boundary</w:t>
            </w:r>
          </w:p>
        </w:tc>
      </w:tr>
      <w:tr>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Redis session cache</w:t>
            </w:r>
          </w:p>
        </w:tc>
        <w:tc>
          <w:tcPr>
            <w:tcW w:type="dxa" w:w="2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IBM Databases for Redis</w:t>
            </w:r>
          </w:p>
        </w:tc>
        <w:tc>
          <w:tcPr>
            <w:tcW w:type="dxa" w:w="19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AES-256 (storage layer)</w:t>
            </w:r>
          </w:p>
        </w:tc>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IBM Key Protect; session tokens are short-lived (&lt; 8h TTL)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Kubernetes Secrets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IKS etcd (encrypted at rest)</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AES-256 (etcd encryption provider)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IBM Key Protect root key; Secrets Manager wraps all application secrets</w:t>
            </w:r>
          </w:p>
        </w:tc>
      </w:tr>
    </w:tbl>
    <w:p>
      <w:pPr>
        <w:spacing w:after="0" w:before="120"/>
      </w:pPr>
      <w:r>
        <w:t xml:space="preserve"/>
      </w:r>
    </w:p>
    <w:p>
      <w:pPr>
        <w:pStyle w:val="Heading2"/>
        <w:spacing w:after="130" w:before="280"/>
      </w:pPr>
      <w:r>
        <w:rPr>
          <w:rFonts w:ascii="Arial" w:cs="Arial" w:eastAsia="Arial" w:hAnsi="Arial"/>
          <w:b/>
          <w:bCs/>
          <w:color w:val="2E75B6"/>
          <w:sz w:val="26"/>
          <w:szCs w:val="26"/>
        </w:rPr>
        <w:t xml:space="preserve">4.3  Encryption in Transit</w:t>
      </w:r>
    </w:p>
    <w:p>
      <w:pPr>
        <w:spacing w:after="100" w:before="80"/>
      </w:pPr>
      <w:r>
        <w:rPr>
          <w:rFonts w:ascii="Arial" w:cs="Arial" w:eastAsia="Arial" w:hAnsi="Arial"/>
          <w:sz w:val="22"/>
          <w:szCs w:val="22"/>
        </w:rPr>
        <w:t xml:space="preserve">All data in motion between any two components of the platform — whether between a customer's browser and the API gateway, between microservices within the cluster, or between the on-premises data center and IBM Cloud — is encrypted using current industry-standard protocols. No plaintext data paths are permitted anywhere in the architecture.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400"/>
        <w:gridCol w:w="2760"/>
      </w:tblGrid>
      <w:tr>
        <w:trPr>
          <w:tblHeader/>
        </w:trPr>
        <w:tc>
          <w:tcPr>
            <w:tcW w:type="dxa" w:w="26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Traffic Path</w:t>
            </w:r>
          </w:p>
        </w:tc>
        <w:tc>
          <w:tcPr>
            <w:tcW w:type="dxa" w:w="16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Protocol</w:t>
            </w:r>
          </w:p>
        </w:tc>
        <w:tc>
          <w:tcPr>
            <w:tcW w:type="dxa" w:w="24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Certificate Authority</w:t>
            </w:r>
          </w:p>
        </w:tc>
        <w:tc>
          <w:tcPr>
            <w:tcW w:type="dxa" w:w="276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Customer browser → IBM CIS / CDN</w:t>
            </w:r>
          </w:p>
        </w:tc>
        <w:tc>
          <w:tcPr>
            <w:tcW w:type="dxa" w:w="1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TLS 1.3</w:t>
            </w:r>
          </w:p>
        </w:tc>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IBM CIS managed certificate (Let's Encrypt)</w:t>
            </w:r>
          </w:p>
        </w:tc>
        <w:tc>
          <w:tcPr>
            <w:tcW w:type="dxa" w:w="27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TLS 1.0 and 1.1 disabled; TLS 1.2 permitted for legacy clients only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CIS → API Gateway (IKS Ingress)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TLS 1.3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cert-manager (Let's Encrypt / internal CA)</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Full end-to-end TLS; no TLS termination at CIS for API paths</w:t>
            </w:r>
          </w:p>
        </w:tc>
      </w:tr>
      <w:tr>
        <w:tc>
          <w:tcPr>
            <w:tcW w:type="dxa" w:w="2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API Gateway → microservices</w:t>
            </w:r>
          </w:p>
        </w:tc>
        <w:tc>
          <w:tcPr>
            <w:tcW w:type="dxa" w:w="1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mTLS (Istio)</w:t>
            </w:r>
          </w:p>
        </w:tc>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Istio mesh CA (SPIFFE/SPIRE)</w:t>
            </w:r>
          </w:p>
        </w:tc>
        <w:tc>
          <w:tcPr>
            <w:tcW w:type="dxa" w:w="27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Mutual TLS for all service mesh traffic; certificates rotated every 24 hours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Microservice → microservice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mTLS (Istio)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Istio mesh CA</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AuthorizationPolicy enforces per-path allow-list; unauthorized calls rejected at proxy</w:t>
            </w:r>
          </w:p>
        </w:tc>
      </w:tr>
      <w:tr>
        <w:tc>
          <w:tcPr>
            <w:tcW w:type="dxa" w:w="2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Microservice → IBM Cloud DB</w:t>
            </w:r>
          </w:p>
        </w:tc>
        <w:tc>
          <w:tcPr>
            <w:tcW w:type="dxa" w:w="1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TLS 1.3</w:t>
            </w:r>
          </w:p>
        </w:tc>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IBM Cloud internal CA</w:t>
            </w:r>
          </w:p>
        </w:tc>
        <w:tc>
          <w:tcPr>
            <w:tcW w:type="dxa" w:w="27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Private service endpoint; traffic never traverses public internet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IBM Cloud → on-premises (Direct Link)</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Private circuit (no TLS required)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N/A — private circuit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Direct Link is private by design; no encryption overhead on primary path</w:t>
            </w:r>
          </w:p>
        </w:tc>
      </w:tr>
      <w:tr>
        <w:tc>
          <w:tcPr>
            <w:tcW w:type="dxa" w:w="2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IBM Cloud → on-premises (VPN failover)</w:t>
            </w:r>
          </w:p>
        </w:tc>
        <w:tc>
          <w:tcPr>
            <w:tcW w:type="dxa" w:w="1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IPSec IKEv2 + AES-256-GCM</w:t>
            </w:r>
          </w:p>
        </w:tc>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Pre-shared key + certificate</w:t>
            </w:r>
          </w:p>
        </w:tc>
        <w:tc>
          <w:tcPr>
            <w:tcW w:type="dxa" w:w="27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VPN activates automatically on Direct Link failure; matches encryption NFR-04</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Partner / 3PL API → API Gateway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TLS 1.3 + mTLS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Organization PKI (certificate pinning)</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mTLS certificate pinning ensures only authorized partners can connect</w:t>
            </w:r>
          </w:p>
        </w:tc>
      </w:tr>
    </w:tbl>
    <w:p>
      <w:pPr>
        <w:spacing w:after="0" w:before="120"/>
      </w:pPr>
      <w:r>
        <w:t xml:space="preserve"/>
      </w:r>
    </w:p>
    <w:p>
      <w:pPr>
        <w:pStyle w:val="Heading2"/>
        <w:spacing w:after="130" w:before="280"/>
      </w:pPr>
      <w:r>
        <w:rPr>
          <w:rFonts w:ascii="Arial" w:cs="Arial" w:eastAsia="Arial" w:hAnsi="Arial"/>
          <w:b/>
          <w:bCs/>
          <w:color w:val="2E75B6"/>
          <w:sz w:val="26"/>
          <w:szCs w:val="26"/>
        </w:rPr>
        <w:t xml:space="preserve">4.4  Data Residency and GDPR Compliance</w:t>
      </w:r>
    </w:p>
    <w:p>
      <w:pPr>
        <w:spacing w:after="100" w:before="80"/>
      </w:pPr>
      <w:r>
        <w:rPr>
          <w:rFonts w:ascii="Arial" w:cs="Arial" w:eastAsia="Arial" w:hAnsi="Arial"/>
          <w:sz w:val="22"/>
          <w:szCs w:val="22"/>
        </w:rPr>
        <w:t xml:space="preserve">GDPR requires that EU customer personal data be processed and stored within geographic boundaries approved under the regulation. The architecture enforces this requirement through a combination of IBM Cloud region selection, IAM policy, and architectural isolation — not through documentation alone.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4B0082" w:sz="1"/>
              <w:left w:val="single" w:color="4B0082" w:sz="1"/>
              <w:bottom w:val="single" w:color="4B0082" w:sz="1"/>
              <w:right w:val="none" w:color="F3E8FF" w:sz="0"/>
            </w:tcBorders>
            <w:shd w:fill="4B0082" w:val="clear"/>
            <w:tcMar>
              <w:top w:type="dxa" w:w="0"/>
              <w:left w:type="dxa" w:w="0"/>
              <w:bottom w:type="dxa" w:w="0"/>
              <w:right w:type="dxa" w:w="0"/>
            </w:tcMar>
          </w:tcPr>
          <w:p>
            <w:r>
              <w:t xml:space="preserve"/>
            </w:r>
          </w:p>
        </w:tc>
        <w:tc>
          <w:tcPr>
            <w:tcW w:type="dxa" w:w="9120"/>
            <w:tcBorders>
              <w:top w:val="single" w:color="4B0082" w:sz="1"/>
              <w:left w:val="none" w:color="F3E8FF" w:sz="0"/>
              <w:bottom w:val="single" w:color="4B0082" w:sz="1"/>
              <w:right w:val="single" w:color="4B0082" w:sz="1"/>
            </w:tcBorders>
            <w:shd w:fill="F3E8FF" w:val="clear"/>
            <w:tcMar>
              <w:top w:type="dxa" w:w="140"/>
              <w:left w:type="dxa" w:w="200"/>
              <w:bottom w:type="dxa" w:w="140"/>
              <w:right w:type="dxa" w:w="200"/>
            </w:tcMar>
          </w:tcPr>
          <w:p>
            <w:pPr>
              <w:spacing w:after="80" w:before="0"/>
            </w:pPr>
            <w:r>
              <w:rPr>
                <w:rFonts w:ascii="Arial" w:cs="Arial" w:eastAsia="Arial" w:hAnsi="Arial"/>
                <w:b/>
                <w:bCs/>
                <w:color w:val="4B0082"/>
                <w:sz w:val="23"/>
                <w:szCs w:val="23"/>
              </w:rPr>
              <w:t xml:space="preserve">EU Data Residency Enforcement Mechanisms</w:t>
            </w:r>
          </w:p>
          <w:p>
            <w:pPr>
              <w:pStyle w:val="ListParagraph"/>
              <w:numPr>
                <w:ilvl w:val="0"/>
                <w:numId w:val="2"/>
              </w:numPr>
              <w:spacing w:after="40" w:before="40"/>
            </w:pPr>
            <w:r>
              <w:rPr>
                <w:rFonts w:ascii="Arial" w:cs="Arial" w:eastAsia="Arial" w:hAnsi="Arial"/>
                <w:sz w:val="22"/>
                <w:szCs w:val="22"/>
              </w:rPr>
              <w:t xml:space="preserve">All IBM Cloud resources that process EU customer PII are provisioned exclusively in the Frankfurt (eu-de) region</w:t>
            </w:r>
          </w:p>
          <w:p>
            <w:pPr>
              <w:pStyle w:val="ListParagraph"/>
              <w:numPr>
                <w:ilvl w:val="0"/>
                <w:numId w:val="2"/>
              </w:numPr>
              <w:spacing w:after="40" w:before="40"/>
            </w:pPr>
            <w:r>
              <w:rPr>
                <w:rFonts w:ascii="Arial" w:cs="Arial" w:eastAsia="Arial" w:hAnsi="Arial"/>
                <w:sz w:val="22"/>
                <w:szCs w:val="22"/>
              </w:rPr>
              <w:t xml:space="preserve">IBM Cloud IAM policies block cross-region data transfer API calls from the EU Compliance Zone (10.1.0.0/16)</w:t>
            </w:r>
          </w:p>
          <w:p>
            <w:pPr>
              <w:pStyle w:val="ListParagraph"/>
              <w:numPr>
                <w:ilvl w:val="0"/>
                <w:numId w:val="2"/>
              </w:numPr>
              <w:spacing w:after="40" w:before="40"/>
            </w:pPr>
            <w:r>
              <w:rPr>
                <w:rFonts w:ascii="Arial" w:cs="Arial" w:eastAsia="Arial" w:hAnsi="Arial"/>
                <w:sz w:val="22"/>
                <w:szCs w:val="22"/>
              </w:rPr>
              <w:t xml:space="preserve">Network-level controls prevent COS replication of PII buckets to any non-EU bucket; replication is configured to EU-only targets</w:t>
            </w:r>
          </w:p>
          <w:p>
            <w:pPr>
              <w:pStyle w:val="ListParagraph"/>
              <w:numPr>
                <w:ilvl w:val="0"/>
                <w:numId w:val="2"/>
              </w:numPr>
              <w:spacing w:after="40" w:before="40"/>
            </w:pPr>
            <w:r>
              <w:rPr>
                <w:rFonts w:ascii="Arial" w:cs="Arial" w:eastAsia="Arial" w:hAnsi="Arial"/>
                <w:sz w:val="22"/>
                <w:szCs w:val="22"/>
              </w:rPr>
              <w:t xml:space="preserve">IBM Cloud Object Storage retention policies prevent deletion of EU customer records within their legally mandated retention window</w:t>
            </w:r>
          </w:p>
          <w:p>
            <w:pPr>
              <w:pStyle w:val="ListParagraph"/>
              <w:numPr>
                <w:ilvl w:val="0"/>
                <w:numId w:val="2"/>
              </w:numPr>
              <w:spacing w:after="40" w:before="40"/>
            </w:pPr>
            <w:r>
              <w:rPr>
                <w:rFonts w:ascii="Arial" w:cs="Arial" w:eastAsia="Arial" w:hAnsi="Arial"/>
                <w:sz w:val="22"/>
                <w:szCs w:val="22"/>
              </w:rPr>
              <w:t xml:space="preserve">EU Customer Profile Service API supports Data Subject Access Requests (DSAR): export, rectification, and erasure endpoints are implemented and logged</w:t>
            </w:r>
          </w:p>
          <w:p>
            <w:pPr>
              <w:pStyle w:val="ListParagraph"/>
              <w:numPr>
                <w:ilvl w:val="0"/>
                <w:numId w:val="2"/>
              </w:numPr>
              <w:spacing w:after="40" w:before="40"/>
            </w:pPr>
            <w:r>
              <w:rPr>
                <w:rFonts w:ascii="Arial" w:cs="Arial" w:eastAsia="Arial" w:hAnsi="Arial"/>
                <w:sz w:val="22"/>
                <w:szCs w:val="22"/>
              </w:rPr>
              <w:t xml:space="preserve">Data Processing Agreements (DPAs) are established with IBM Cloud as a data processor; IBM Frankfurt region is covered under EU Standard Contractual Clauses</w:t>
            </w:r>
          </w:p>
        </w:tc>
      </w:tr>
    </w:tbl>
    <w:p>
      <w:pPr>
        <w:spacing w:after="0" w:before="120"/>
      </w:pPr>
      <w:r>
        <w:t xml:space="preserve"/>
      </w:r>
    </w:p>
    <w:p>
      <w:pPr>
        <w:pStyle w:val="Heading2"/>
        <w:spacing w:after="130" w:before="280"/>
      </w:pPr>
      <w:r>
        <w:rPr>
          <w:rFonts w:ascii="Arial" w:cs="Arial" w:eastAsia="Arial" w:hAnsi="Arial"/>
          <w:b/>
          <w:bCs/>
          <w:color w:val="2E75B6"/>
          <w:sz w:val="26"/>
          <w:szCs w:val="26"/>
        </w:rPr>
        <w:t xml:space="preserve">4.5  PCI-DSS Payment Data Isolation</w:t>
      </w:r>
    </w:p>
    <w:p>
      <w:pPr>
        <w:spacing w:after="100" w:before="80"/>
      </w:pPr>
      <w:r>
        <w:rPr>
          <w:rFonts w:ascii="Arial" w:cs="Arial" w:eastAsia="Arial" w:hAnsi="Arial"/>
          <w:sz w:val="22"/>
          <w:szCs w:val="22"/>
        </w:rPr>
        <w:t xml:space="preserve">Payment card data is the most sensitive data class on the platform. PCI-DSS requires that cardholder data be handled only within a defined, isolated Cardholder Data Environment (CDE). The architecture isolates the CDE through a dedicated Kubernetes namespace (Payment Isolation Zone, 10.0.20.0/24) with NetworkPolicy enforcing default-deny ingress and egress, allowing only the minimum traffic paths required for payment processing.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PCI-DSS Requirement</w:t>
            </w:r>
          </w:p>
        </w:tc>
        <w:tc>
          <w:tcPr>
            <w:tcW w:type="dxa" w:w="336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Architectural Control</w:t>
            </w:r>
          </w:p>
        </w:tc>
        <w:tc>
          <w:tcPr>
            <w:tcW w:type="dxa" w:w="32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Implementation Detail</w:t>
            </w:r>
          </w:p>
        </w:tc>
      </w:tr>
      <w:tr>
        <w:tc>
          <w:tcPr>
            <w:tcW w:type="dxa" w:w="28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Isolate cardholder data environment</w:t>
            </w:r>
          </w:p>
        </w:tc>
        <w:tc>
          <w:tcPr>
            <w:tcW w:type="dxa" w:w="33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Dedicated IKS namespace with NetworkPolicy default-deny</w:t>
            </w:r>
          </w:p>
        </w:tc>
        <w:tc>
          <w:tcPr>
            <w:tcW w:type="dxa" w:w="3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Only API Gateway may connect inbound; only approved payment processors may be reached outbound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Encrypt cardholder data at rest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On-premises HSM vault; payment tokens never written to cloud storage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HSM FIPS 140-2 Level 3; tokens are single-use references; no PAN stored in cloud</w:t>
            </w:r>
          </w:p>
        </w:tc>
      </w:tr>
      <w:tr>
        <w:tc>
          <w:tcPr>
            <w:tcW w:type="dxa" w:w="28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Encrypt data in transit</w:t>
            </w:r>
          </w:p>
        </w:tc>
        <w:tc>
          <w:tcPr>
            <w:tcW w:type="dxa" w:w="33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TLS 1.3 for all payment processor connections</w:t>
            </w:r>
          </w:p>
        </w:tc>
        <w:tc>
          <w:tcPr>
            <w:tcW w:type="dxa" w:w="3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Certificate pinning for payment processor endpoints; TLS 1.2 permitted with approved cipher suites only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Restrict access to cardholder data</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PCI role only; MFA + IBM Secrets Manager; no Production console access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kubectl exec prohibited in payment namespace; all access logged to immutable COS audit bucket</w:t>
            </w:r>
          </w:p>
        </w:tc>
      </w:tr>
      <w:tr>
        <w:tc>
          <w:tcPr>
            <w:tcW w:type="dxa" w:w="28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Log and monitor all access</w:t>
            </w:r>
          </w:p>
        </w:tc>
        <w:tc>
          <w:tcPr>
            <w:tcW w:type="dxa" w:w="33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Istio access logs + IBM Cloud Log Analysis + immutable COS</w:t>
            </w:r>
          </w:p>
        </w:tc>
        <w:tc>
          <w:tcPr>
            <w:tcW w:type="dxa" w:w="3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Every inbound and outbound connection in the payment namespace is logged; alerts fire on any anomalous destination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Regular penetration testing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Quarterly external pen test of Payment Isolation Zone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Findings remediated within 30 days (critical) or 90 days (high); evidence retained for PCI QSA audit</w:t>
            </w:r>
          </w:p>
        </w:tc>
      </w:tr>
    </w:tbl>
    <w:p>
      <w:pPr>
        <w:spacing w:after="0" w:before="80"/>
      </w:pPr>
      <w:r>
        <w:t xml:space="preserve"/>
      </w:r>
    </w:p>
    <w:p>
      <w:pPr>
        <w:pStyle w:val="Heading1"/>
        <w:spacing w:after="180" w:before="440"/>
      </w:pPr>
      <w:r>
        <w:rPr>
          <w:rFonts w:ascii="Arial" w:cs="Arial" w:eastAsia="Arial" w:hAnsi="Arial"/>
          <w:b/>
          <w:bCs/>
          <w:color w:val="1F4E79"/>
          <w:sz w:val="34"/>
          <w:szCs w:val="34"/>
        </w:rPr>
        <w:t xml:space="preserve">Logging and auditability</w:t>
      </w:r>
    </w:p>
    <w:p>
      <w:pPr>
        <w:spacing w:after="100" w:before="80"/>
      </w:pPr>
      <w:r>
        <w:rPr>
          <w:rFonts w:ascii="Arial" w:cs="Arial" w:eastAsia="Arial" w:hAnsi="Arial"/>
          <w:sz w:val="22"/>
          <w:szCs w:val="22"/>
        </w:rPr>
        <w:t xml:space="preserve">Logging and auditability controls provide the visibility needed to detect anomalies, investigate security incidents, validate compliance, and demonstrate to auditors that controls are operating as designed. For the Global Retail Platform, logging is not an operational afterthought — it is a compliance requirement under both GDPR (Article 30 processing records; Article 33 breach notification within 72 hours) and PCI-DSS (Requirement 10: track and monitor all access to network resources and cardholder data). All log data is treated as immutable evidence and is protected against modification or premature deletion.</w:t>
      </w:r>
    </w:p>
    <w:p>
      <w:pPr>
        <w:spacing w:after="0" w:before="80"/>
      </w:pPr>
      <w:r>
        <w:t xml:space="preserve"/>
      </w:r>
    </w:p>
    <w:p>
      <w:pPr>
        <w:pStyle w:val="Heading2"/>
        <w:spacing w:after="130" w:before="280"/>
      </w:pPr>
      <w:r>
        <w:rPr>
          <w:rFonts w:ascii="Arial" w:cs="Arial" w:eastAsia="Arial" w:hAnsi="Arial"/>
          <w:b/>
          <w:bCs/>
          <w:color w:val="2E75B6"/>
          <w:sz w:val="26"/>
          <w:szCs w:val="26"/>
        </w:rPr>
        <w:t xml:space="preserve">5.1  Centralized Log Architecture</w:t>
      </w:r>
    </w:p>
    <w:p>
      <w:pPr>
        <w:spacing w:after="100" w:before="80"/>
      </w:pPr>
      <w:r>
        <w:rPr>
          <w:rFonts w:ascii="Arial" w:cs="Arial" w:eastAsia="Arial" w:hAnsi="Arial"/>
          <w:sz w:val="22"/>
          <w:szCs w:val="22"/>
        </w:rPr>
        <w:t xml:space="preserve">All log streams — application logs, Kubernetes audit logs, IBM Cloud activity tracker events, Istio access logs, and CI/CD pipeline logs — are ingested into a centralized IBM Cloud Log Analysis instance. From there, logs are simultaneously streamed to an immutable IBM Cloud Object Storage bucket (WORM — Write Once Read Many) for long-term retention and compliance archiving. This two-tier architecture ensures that logs are available for real-time operational queries through the Log Analysis UI while also being preserved in an unalterable format for audit and legal hold purposes.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2E75B6" w:sz="1"/>
              <w:left w:val="single" w:color="2E75B6" w:sz="1"/>
              <w:bottom w:val="single" w:color="2E75B6" w:sz="1"/>
              <w:right w:val="none" w:color="D6E4F0" w:sz="0"/>
            </w:tcBorders>
            <w:shd w:fill="2E75B6" w:val="clear"/>
            <w:tcMar>
              <w:top w:type="dxa" w:w="0"/>
              <w:left w:type="dxa" w:w="0"/>
              <w:bottom w:type="dxa" w:w="0"/>
              <w:right w:type="dxa" w:w="0"/>
            </w:tcMar>
          </w:tcPr>
          <w:p>
            <w:r>
              <w:t xml:space="preserve"/>
            </w:r>
          </w:p>
        </w:tc>
        <w:tc>
          <w:tcPr>
            <w:tcW w:type="dxa" w:w="9120"/>
            <w:tcBorders>
              <w:top w:val="single" w:color="2E75B6" w:sz="1"/>
              <w:left w:val="none" w:color="D6E4F0" w:sz="0"/>
              <w:bottom w:val="single" w:color="2E75B6" w:sz="1"/>
              <w:right w:val="single" w:color="2E75B6" w:sz="1"/>
            </w:tcBorders>
            <w:shd w:fill="D6E4F0" w:val="clear"/>
            <w:tcMar>
              <w:top w:type="dxa" w:w="140"/>
              <w:left w:type="dxa" w:w="200"/>
              <w:bottom w:type="dxa" w:w="140"/>
              <w:right w:type="dxa" w:w="200"/>
            </w:tcMar>
          </w:tcPr>
          <w:p>
            <w:pPr>
              <w:spacing w:after="80" w:before="0"/>
            </w:pPr>
            <w:r>
              <w:rPr>
                <w:rFonts w:ascii="Arial" w:cs="Arial" w:eastAsia="Arial" w:hAnsi="Arial"/>
                <w:b/>
                <w:bCs/>
                <w:color w:val="1F4E79"/>
                <w:sz w:val="23"/>
                <w:szCs w:val="23"/>
              </w:rPr>
              <w:t xml:space="preserve">Log Ingestion Pipeline</w:t>
            </w:r>
          </w:p>
          <w:p>
            <w:pPr>
              <w:pStyle w:val="ListParagraph"/>
              <w:numPr>
                <w:ilvl w:val="0"/>
                <w:numId w:val="2"/>
              </w:numPr>
              <w:spacing w:after="40" w:before="40"/>
            </w:pPr>
            <w:r>
              <w:rPr>
                <w:rFonts w:ascii="Arial" w:cs="Arial" w:eastAsia="Arial" w:hAnsi="Arial"/>
                <w:sz w:val="22"/>
                <w:szCs w:val="22"/>
              </w:rPr>
              <w:t xml:space="preserve">Source: Application pods (structured JSON to stdout) → Kubernetes log collection agent (Fluent Bit) → IBM Log Analysis</w:t>
            </w:r>
          </w:p>
          <w:p>
            <w:pPr>
              <w:pStyle w:val="ListParagraph"/>
              <w:numPr>
                <w:ilvl w:val="0"/>
                <w:numId w:val="2"/>
              </w:numPr>
              <w:spacing w:after="40" w:before="40"/>
            </w:pPr>
            <w:r>
              <w:rPr>
                <w:rFonts w:ascii="Arial" w:cs="Arial" w:eastAsia="Arial" w:hAnsi="Arial"/>
                <w:sz w:val="22"/>
                <w:szCs w:val="22"/>
              </w:rPr>
              <w:t xml:space="preserve">Source: Kubernetes API server audit log → IBM Log Analysis → COS immutable bucket</w:t>
            </w:r>
          </w:p>
          <w:p>
            <w:pPr>
              <w:pStyle w:val="ListParagraph"/>
              <w:numPr>
                <w:ilvl w:val="0"/>
                <w:numId w:val="2"/>
              </w:numPr>
              <w:spacing w:after="40" w:before="40"/>
            </w:pPr>
            <w:r>
              <w:rPr>
                <w:rFonts w:ascii="Arial" w:cs="Arial" w:eastAsia="Arial" w:hAnsi="Arial"/>
                <w:sz w:val="22"/>
                <w:szCs w:val="22"/>
              </w:rPr>
              <w:t xml:space="preserve">Source: IBM Cloud Activity Tracker (IAM events, resource lifecycle) → Log Analysis → COS immutable bucket</w:t>
            </w:r>
          </w:p>
          <w:p>
            <w:pPr>
              <w:pStyle w:val="ListParagraph"/>
              <w:numPr>
                <w:ilvl w:val="0"/>
                <w:numId w:val="2"/>
              </w:numPr>
              <w:spacing w:after="40" w:before="40"/>
            </w:pPr>
            <w:r>
              <w:rPr>
                <w:rFonts w:ascii="Arial" w:cs="Arial" w:eastAsia="Arial" w:hAnsi="Arial"/>
                <w:sz w:val="22"/>
                <w:szCs w:val="22"/>
              </w:rPr>
              <w:t xml:space="preserve">Source: Istio Envoy access logs (every inbound/outbound service request) → Log Analysis → COS immutable bucket</w:t>
            </w:r>
          </w:p>
          <w:p>
            <w:pPr>
              <w:pStyle w:val="ListParagraph"/>
              <w:numPr>
                <w:ilvl w:val="0"/>
                <w:numId w:val="2"/>
              </w:numPr>
              <w:spacing w:after="40" w:before="40"/>
            </w:pPr>
            <w:r>
              <w:rPr>
                <w:rFonts w:ascii="Arial" w:cs="Arial" w:eastAsia="Arial" w:hAnsi="Arial"/>
                <w:sz w:val="22"/>
                <w:szCs w:val="22"/>
              </w:rPr>
              <w:t xml:space="preserve">Source: CI/CD pipeline stage logs (IBM Toolchain) → Log Analysis → COS archive bucket</w:t>
            </w:r>
          </w:p>
          <w:p>
            <w:pPr>
              <w:pStyle w:val="ListParagraph"/>
              <w:numPr>
                <w:ilvl w:val="0"/>
                <w:numId w:val="2"/>
              </w:numPr>
              <w:spacing w:after="40" w:before="40"/>
            </w:pPr>
            <w:r>
              <w:rPr>
                <w:rFonts w:ascii="Arial" w:cs="Arial" w:eastAsia="Arial" w:hAnsi="Arial"/>
                <w:sz w:val="22"/>
                <w:szCs w:val="22"/>
              </w:rPr>
              <w:t xml:space="preserve">Retention: Log Analysis hot tier — 30 days searchable; COS immutable archive — 7 years (GDPR / PCI-DSS mandate)</w:t>
            </w:r>
          </w:p>
        </w:tc>
      </w:tr>
    </w:tbl>
    <w:p>
      <w:pPr>
        <w:spacing w:after="0" w:before="120"/>
      </w:pPr>
      <w:r>
        <w:t xml:space="preserve"/>
      </w:r>
    </w:p>
    <w:p>
      <w:pPr>
        <w:pStyle w:val="Heading2"/>
        <w:spacing w:after="130" w:before="280"/>
      </w:pPr>
      <w:r>
        <w:rPr>
          <w:rFonts w:ascii="Arial" w:cs="Arial" w:eastAsia="Arial" w:hAnsi="Arial"/>
          <w:b/>
          <w:bCs/>
          <w:color w:val="2E75B6"/>
          <w:sz w:val="26"/>
          <w:szCs w:val="26"/>
        </w:rPr>
        <w:t xml:space="preserve">5.2  Log Content Requirements</w:t>
      </w:r>
    </w:p>
    <w:p>
      <w:pPr>
        <w:spacing w:after="100" w:before="80"/>
      </w:pPr>
      <w:r>
        <w:rPr>
          <w:rFonts w:ascii="Arial" w:cs="Arial" w:eastAsia="Arial" w:hAnsi="Arial"/>
          <w:sz w:val="22"/>
          <w:szCs w:val="22"/>
        </w:rPr>
        <w:t xml:space="preserve">Every log entry generated by platform components must conform to a structured JSON schema that includes the mandatory fields listed below. Structured logging ensures that logs are machine-parseable for automated analysis and alerting, and that they contain sufficient context to reconstruct the sequence of events during an incident investigation.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000"/>
        <w:gridCol w:w="1760"/>
      </w:tblGrid>
      <w:tr>
        <w:trPr>
          <w:tblHeader/>
        </w:trPr>
        <w:tc>
          <w:tcPr>
            <w:tcW w:type="dxa" w:w="24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Log Category</w:t>
            </w:r>
          </w:p>
        </w:tc>
        <w:tc>
          <w:tcPr>
            <w:tcW w:type="dxa" w:w="32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Mandatory Fields</w:t>
            </w:r>
          </w:p>
        </w:tc>
        <w:tc>
          <w:tcPr>
            <w:tcW w:type="dxa" w:w="20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Source</w:t>
            </w:r>
          </w:p>
        </w:tc>
        <w:tc>
          <w:tcPr>
            <w:tcW w:type="dxa" w:w="176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Retention</w:t>
            </w:r>
          </w:p>
        </w:tc>
      </w:tr>
      <w:tr>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Application access log</w:t>
            </w:r>
          </w:p>
        </w:tc>
        <w:tc>
          <w:tcPr>
            <w:tcW w:type="dxa" w:w="3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timestamp, service_name, trace_id, user_id (hashed), http_method, path, status_code, response_time_ms, source_ip (masked)</w:t>
            </w:r>
          </w:p>
        </w:tc>
        <w:tc>
          <w:tcPr>
            <w:tcW w:type="dxa" w:w="20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Uvicorn / FastAPI request middleware</w:t>
            </w:r>
          </w:p>
        </w:tc>
        <w:tc>
          <w:tcPr>
            <w:tcW w:type="dxa" w:w="17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30 days hot / 7 years archive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Authentication event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timestamp, event_type, identity, source_ip, mfa_used, outcome (success/failure), ibm_iam_token_id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IBM Cloud IAM Activity Tracker</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7 years (PCI-DSS Req. 10)</w:t>
            </w:r>
          </w:p>
        </w:tc>
      </w:tr>
      <w:tr>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Data access event (PII or PCI)</w:t>
            </w:r>
          </w:p>
        </w:tc>
        <w:tc>
          <w:tcPr>
            <w:tcW w:type="dxa" w:w="3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timestamp, accessor_identity, data_classification, resource_id, action, business_justification, approver</w:t>
            </w:r>
          </w:p>
        </w:tc>
        <w:tc>
          <w:tcPr>
            <w:tcW w:type="dxa" w:w="20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IBM Cloud Activity Tracker + application layer</w:t>
            </w:r>
          </w:p>
        </w:tc>
        <w:tc>
          <w:tcPr>
            <w:tcW w:type="dxa" w:w="17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7 years (GDPR Art. 30 + PCI-DSS)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Kubernetes API audit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timestamp, user, verb, resource, namespace, response_code, request_uri, source_ip</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kube-apiserver audit policy (RequestResponse level for sensitive verbs)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1 year hot / 7 years archive</w:t>
            </w:r>
          </w:p>
        </w:tc>
      </w:tr>
      <w:tr>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CI/CD pipeline event</w:t>
            </w:r>
          </w:p>
        </w:tc>
        <w:tc>
          <w:tcPr>
            <w:tcW w:type="dxa" w:w="3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timestamp, stage_name, image_tag, git_commit, approver, scan_result, deployment_target, outcome</w:t>
            </w:r>
          </w:p>
        </w:tc>
        <w:tc>
          <w:tcPr>
            <w:tcW w:type="dxa" w:w="20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IBM Cloud Toolchain webhook + pipeline stage logs</w:t>
            </w:r>
          </w:p>
        </w:tc>
        <w:tc>
          <w:tcPr>
            <w:tcW w:type="dxa" w:w="17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1 year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Security scan result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timestamp, scanner, image_or_repo, finding_count_by_severity, quality_gate_status, pipeline_run_id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Safety / IBM VA / SonarQube export</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7 years (compliance evidence)</w:t>
            </w:r>
          </w:p>
        </w:tc>
      </w:tr>
      <w:tr>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Network flow log</w:t>
            </w:r>
          </w:p>
        </w:tc>
        <w:tc>
          <w:tcPr>
            <w:tcW w:type="dxa" w:w="3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timestamp, src_ip, dst_ip, src_port, dst_port, protocol, bytes, action (allow/deny)</w:t>
            </w:r>
          </w:p>
        </w:tc>
        <w:tc>
          <w:tcPr>
            <w:tcW w:type="dxa" w:w="20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Istio Envoy access log + IBM Cloud VPC flow logs</w:t>
            </w:r>
          </w:p>
        </w:tc>
        <w:tc>
          <w:tcPr>
            <w:tcW w:type="dxa" w:w="17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90 days hot / 7 years archive</w:t>
            </w:r>
          </w:p>
        </w:tc>
      </w:tr>
    </w:tbl>
    <w:p>
      <w:pPr>
        <w:spacing w:after="0" w:before="120"/>
      </w:pPr>
      <w:r>
        <w:t xml:space="preserve"/>
      </w:r>
    </w:p>
    <w:p>
      <w:pPr>
        <w:pStyle w:val="Heading2"/>
        <w:spacing w:after="130" w:before="280"/>
      </w:pPr>
      <w:r>
        <w:rPr>
          <w:rFonts w:ascii="Arial" w:cs="Arial" w:eastAsia="Arial" w:hAnsi="Arial"/>
          <w:b/>
          <w:bCs/>
          <w:color w:val="2E75B6"/>
          <w:sz w:val="26"/>
          <w:szCs w:val="26"/>
        </w:rPr>
        <w:t xml:space="preserve">5.3  Alerting and Anomaly Detection</w:t>
      </w:r>
    </w:p>
    <w:p>
      <w:pPr>
        <w:spacing w:after="100" w:before="80"/>
      </w:pPr>
      <w:r>
        <w:rPr>
          <w:rFonts w:ascii="Arial" w:cs="Arial" w:eastAsia="Arial" w:hAnsi="Arial"/>
          <w:sz w:val="22"/>
          <w:szCs w:val="22"/>
        </w:rPr>
        <w:t xml:space="preserve">IBM Cloud Monitoring is configured with alert rules that fire on security-relevant events and operational anomalies. Alerts are routed to PagerDuty for on-call escalation and to a dedicated Security Alerts Slack channel. Alert thresholds are reviewed quarterly by the Security and Compliance Director and adjusted based on observed baseline behavior to minimize false-positive fatigue while maintaining sensitivity to genuine threats.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900"/>
        <w:gridCol w:w="1100"/>
        <w:gridCol w:w="2000"/>
      </w:tblGrid>
      <w:tr>
        <w:trPr>
          <w:tblHeader/>
        </w:trPr>
        <w:tc>
          <w:tcPr>
            <w:tcW w:type="dxa" w:w="24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Alert</w:t>
            </w:r>
          </w:p>
        </w:tc>
        <w:tc>
          <w:tcPr>
            <w:tcW w:type="dxa" w:w="296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Trigger Condition</w:t>
            </w:r>
          </w:p>
        </w:tc>
        <w:tc>
          <w:tcPr>
            <w:tcW w:type="dxa" w:w="9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11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Response SLA</w:t>
            </w:r>
          </w:p>
        </w:tc>
        <w:tc>
          <w:tcPr>
            <w:tcW w:type="dxa" w:w="20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Routing</w:t>
            </w:r>
          </w:p>
        </w:tc>
      </w:tr>
      <w:tr>
        <w:tc>
          <w:tcPr>
            <w:tcW w:type="dxa" w:w="2400"/>
            <w:tcBorders>
              <w:top w:val="single" w:color="CCCCCC" w:sz="1"/>
              <w:left w:val="single" w:color="CCCCCC" w:sz="1"/>
              <w:bottom w:val="single" w:color="CCCCCC" w:sz="1"/>
              <w:right w:val="single" w:color="CCCCCC" w:sz="1"/>
            </w:tcBorders>
            <w:shd w:fill="F0F5FF"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Unauthorized API access</w:t>
            </w:r>
          </w:p>
        </w:tc>
        <w:tc>
          <w:tcPr>
            <w:tcW w:type="dxa" w:w="296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HTTP 401/403 rate &gt; 50/min from a single source IP</w:t>
            </w:r>
          </w:p>
        </w:tc>
        <w:tc>
          <w:tcPr>
            <w:tcW w:type="dxa" w:w="9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center"/>
          </w:tcPr>
          <w:p>
            <w:pPr>
              <w:jc w:val="center"/>
            </w:pPr>
            <w:r>
              <w:rPr>
                <w:rFonts w:ascii="Arial" w:cs="Arial" w:eastAsia="Arial" w:hAnsi="Arial"/>
                <w:b/>
                <w:bCs/>
                <w:color w:val="7B1515"/>
                <w:sz w:val="20"/>
                <w:szCs w:val="20"/>
              </w:rPr>
              <w:t xml:space="preserve">HIGH</w:t>
            </w:r>
          </w:p>
        </w:tc>
        <w:tc>
          <w:tcPr>
            <w:tcW w:type="dxa" w:w="11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15 minutes</w:t>
            </w:r>
          </w:p>
        </w:tc>
        <w:tc>
          <w:tcPr>
            <w:tcW w:type="dxa" w:w="20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PagerDuty + Security Slack</w:t>
            </w:r>
          </w:p>
        </w:tc>
      </w:tr>
      <w:tr>
        <w:tc>
          <w:tcPr>
            <w:tcW w:type="dxa" w:w="24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PCI namespace egress anomaly</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Any outbound connection from payment namespace to unapproved destination</w:t>
            </w:r>
          </w:p>
        </w:tc>
        <w:tc>
          <w:tcPr>
            <w:tcW w:type="dxa" w:w="9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center"/>
          </w:tcPr>
          <w:p>
            <w:pPr>
              <w:jc w:val="center"/>
            </w:pPr>
            <w:r>
              <w:rPr>
                <w:rFonts w:ascii="Arial" w:cs="Arial" w:eastAsia="Arial" w:hAnsi="Arial"/>
                <w:b/>
                <w:bCs/>
                <w:color w:val="7B1515"/>
                <w:sz w:val="20"/>
                <w:szCs w:val="20"/>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5 minutes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PagerDuty + Security Slack + CISO</w:t>
            </w:r>
          </w:p>
        </w:tc>
      </w:tr>
      <w:tr>
        <w:tc>
          <w:tcPr>
            <w:tcW w:type="dxa" w:w="2400"/>
            <w:tcBorders>
              <w:top w:val="single" w:color="CCCCCC" w:sz="1"/>
              <w:left w:val="single" w:color="CCCCCC" w:sz="1"/>
              <w:bottom w:val="single" w:color="CCCCCC" w:sz="1"/>
              <w:right w:val="single" w:color="CCCCCC" w:sz="1"/>
            </w:tcBorders>
            <w:shd w:fill="F0F5FF"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IAM privilege escalation</w:t>
            </w:r>
          </w:p>
        </w:tc>
        <w:tc>
          <w:tcPr>
            <w:tcW w:type="dxa" w:w="296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IBM Activity Tracker: role assignment to Production or PCI scope</w:t>
            </w:r>
          </w:p>
        </w:tc>
        <w:tc>
          <w:tcPr>
            <w:tcW w:type="dxa" w:w="9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center"/>
          </w:tcPr>
          <w:p>
            <w:pPr>
              <w:jc w:val="center"/>
            </w:pPr>
            <w:r>
              <w:rPr>
                <w:rFonts w:ascii="Arial" w:cs="Arial" w:eastAsia="Arial" w:hAnsi="Arial"/>
                <w:b/>
                <w:bCs/>
                <w:color w:val="7B1515"/>
                <w:sz w:val="20"/>
                <w:szCs w:val="20"/>
              </w:rPr>
              <w:t xml:space="preserve">HIGH</w:t>
            </w:r>
          </w:p>
        </w:tc>
        <w:tc>
          <w:tcPr>
            <w:tcW w:type="dxa" w:w="11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15 minutes</w:t>
            </w:r>
          </w:p>
        </w:tc>
        <w:tc>
          <w:tcPr>
            <w:tcW w:type="dxa" w:w="20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PagerDuty + DevOps Lead + Security Director</w:t>
            </w:r>
          </w:p>
        </w:tc>
      </w:tr>
      <w:tr>
        <w:tc>
          <w:tcPr>
            <w:tcW w:type="dxa" w:w="24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Service error rate spike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HTTP 5xx rate &gt; 5% of total requests for any service over 2 minutes</w:t>
            </w:r>
          </w:p>
        </w:tc>
        <w:tc>
          <w:tcPr>
            <w:tcW w:type="dxa" w:w="900"/>
            <w:tcBorders>
              <w:top w:val="single" w:color="CCCCCC" w:sz="1"/>
              <w:left w:val="single" w:color="CCCCCC" w:sz="1"/>
              <w:bottom w:val="single" w:color="CCCCCC" w:sz="1"/>
              <w:right w:val="single" w:color="CCCCCC" w:sz="1"/>
            </w:tcBorders>
            <w:shd w:fill="FFF3E0" w:val="clear"/>
            <w:tcMar>
              <w:top w:type="dxa" w:w="70"/>
              <w:left w:type="dxa" w:w="110"/>
              <w:bottom w:type="dxa" w:w="70"/>
              <w:right w:type="dxa" w:w="110"/>
            </w:tcMar>
            <w:vAlign w:val="center"/>
          </w:tcPr>
          <w:p>
            <w:pPr>
              <w:jc w:val="center"/>
            </w:pPr>
            <w:r>
              <w:rPr>
                <w:rFonts w:ascii="Arial" w:cs="Arial" w:eastAsia="Arial" w:hAnsi="Arial"/>
                <w:b/>
                <w:bCs/>
                <w:color w:val="7F4B00"/>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30 minutes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PagerDuty + DevOps Slack</w:t>
            </w:r>
          </w:p>
        </w:tc>
      </w:tr>
      <w:tr>
        <w:tc>
          <w:tcPr>
            <w:tcW w:type="dxa" w:w="2400"/>
            <w:tcBorders>
              <w:top w:val="single" w:color="CCCCCC" w:sz="1"/>
              <w:left w:val="single" w:color="CCCCCC" w:sz="1"/>
              <w:bottom w:val="single" w:color="CCCCCC" w:sz="1"/>
              <w:right w:val="single" w:color="CCCCCC" w:sz="1"/>
            </w:tcBorders>
            <w:shd w:fill="F0F5FF"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Certificate expiry warning</w:t>
            </w:r>
          </w:p>
        </w:tc>
        <w:tc>
          <w:tcPr>
            <w:tcW w:type="dxa" w:w="296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TLS certificate expiry &lt; 30 days on any production endpoint</w:t>
            </w:r>
          </w:p>
        </w:tc>
        <w:tc>
          <w:tcPr>
            <w:tcW w:type="dxa" w:w="900"/>
            <w:tcBorders>
              <w:top w:val="single" w:color="CCCCCC" w:sz="1"/>
              <w:left w:val="single" w:color="CCCCCC" w:sz="1"/>
              <w:bottom w:val="single" w:color="CCCCCC" w:sz="1"/>
              <w:right w:val="single" w:color="CCCCCC" w:sz="1"/>
            </w:tcBorders>
            <w:shd w:fill="FFF3E0" w:val="clear"/>
            <w:tcMar>
              <w:top w:type="dxa" w:w="70"/>
              <w:left w:type="dxa" w:w="110"/>
              <w:bottom w:type="dxa" w:w="70"/>
              <w:right w:type="dxa" w:w="110"/>
            </w:tcMar>
            <w:vAlign w:val="center"/>
          </w:tcPr>
          <w:p>
            <w:pPr>
              <w:jc w:val="center"/>
            </w:pPr>
            <w:r>
              <w:rPr>
                <w:rFonts w:ascii="Arial" w:cs="Arial" w:eastAsia="Arial" w:hAnsi="Arial"/>
                <w:b/>
                <w:bCs/>
                <w:color w:val="7F4B00"/>
                <w:sz w:val="20"/>
                <w:szCs w:val="20"/>
              </w:rPr>
              <w:t xml:space="preserve">MEDIUM</w:t>
            </w:r>
          </w:p>
        </w:tc>
        <w:tc>
          <w:tcPr>
            <w:tcW w:type="dxa" w:w="11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24 hours</w:t>
            </w:r>
          </w:p>
        </w:tc>
        <w:tc>
          <w:tcPr>
            <w:tcW w:type="dxa" w:w="20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DevOps Slack + email</w:t>
            </w:r>
          </w:p>
        </w:tc>
      </w:tr>
      <w:tr>
        <w:tc>
          <w:tcPr>
            <w:tcW w:type="dxa" w:w="24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Backup job failure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Any scheduled backup or replication job exits with non-zero status</w:t>
            </w:r>
          </w:p>
        </w:tc>
        <w:tc>
          <w:tcPr>
            <w:tcW w:type="dxa" w:w="900"/>
            <w:tcBorders>
              <w:top w:val="single" w:color="CCCCCC" w:sz="1"/>
              <w:left w:val="single" w:color="CCCCCC" w:sz="1"/>
              <w:bottom w:val="single" w:color="CCCCCC" w:sz="1"/>
              <w:right w:val="single" w:color="CCCCCC" w:sz="1"/>
            </w:tcBorders>
            <w:shd w:fill="FFF3E0" w:val="clear"/>
            <w:tcMar>
              <w:top w:type="dxa" w:w="70"/>
              <w:left w:type="dxa" w:w="110"/>
              <w:bottom w:type="dxa" w:w="70"/>
              <w:right w:type="dxa" w:w="110"/>
            </w:tcMar>
            <w:vAlign w:val="center"/>
          </w:tcPr>
          <w:p>
            <w:pPr>
              <w:jc w:val="center"/>
            </w:pPr>
            <w:r>
              <w:rPr>
                <w:rFonts w:ascii="Arial" w:cs="Arial" w:eastAsia="Arial" w:hAnsi="Arial"/>
                <w:b/>
                <w:bCs/>
                <w:color w:val="7F4B00"/>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1 hour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DevOps Slack</w:t>
            </w:r>
          </w:p>
        </w:tc>
      </w:tr>
      <w:tr>
        <w:tc>
          <w:tcPr>
            <w:tcW w:type="dxa" w:w="2400"/>
            <w:tcBorders>
              <w:top w:val="single" w:color="CCCCCC" w:sz="1"/>
              <w:left w:val="single" w:color="CCCCCC" w:sz="1"/>
              <w:bottom w:val="single" w:color="CCCCCC" w:sz="1"/>
              <w:right w:val="single" w:color="CCCCCC" w:sz="1"/>
            </w:tcBorders>
            <w:shd w:fill="F0F5FF"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Unusual data volume from EU zone</w:t>
            </w:r>
          </w:p>
        </w:tc>
        <w:tc>
          <w:tcPr>
            <w:tcW w:type="dxa" w:w="296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COS data transfer from EU Compliance Zone &gt; 10 GB in 1 hour</w:t>
            </w:r>
          </w:p>
        </w:tc>
        <w:tc>
          <w:tcPr>
            <w:tcW w:type="dxa" w:w="9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center"/>
          </w:tcPr>
          <w:p>
            <w:pPr>
              <w:jc w:val="center"/>
            </w:pPr>
            <w:r>
              <w:rPr>
                <w:rFonts w:ascii="Arial" w:cs="Arial" w:eastAsia="Arial" w:hAnsi="Arial"/>
                <w:b/>
                <w:bCs/>
                <w:color w:val="7B1515"/>
                <w:sz w:val="20"/>
                <w:szCs w:val="20"/>
              </w:rPr>
              <w:t xml:space="preserve">HIGH</w:t>
            </w:r>
          </w:p>
        </w:tc>
        <w:tc>
          <w:tcPr>
            <w:tcW w:type="dxa" w:w="11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15 minutes</w:t>
            </w:r>
          </w:p>
        </w:tc>
        <w:tc>
          <w:tcPr>
            <w:tcW w:type="dxa" w:w="20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PagerDuty + Security Director (GDPR risk)</w:t>
            </w:r>
          </w:p>
        </w:tc>
      </w:tr>
      <w:tr>
        <w:tc>
          <w:tcPr>
            <w:tcW w:type="dxa" w:w="2400"/>
            <w:tcBorders>
              <w:top w:val="single" w:color="CCCCCC" w:sz="1"/>
              <w:left w:val="single" w:color="CCCCCC" w:sz="1"/>
              <w:bottom w:val="single" w:color="CCCCCC" w:sz="1"/>
              <w:right w:val="single" w:color="CCCCCC" w:sz="1"/>
            </w:tcBorders>
            <w:shd w:fill="F8FBFF" w:val="clear"/>
            <w:tcMar>
              <w:top w:type="dxa" w:w="70"/>
              <w:left w:type="dxa" w:w="110"/>
              <w:bottom w:type="dxa" w:w="70"/>
              <w:right w:type="dxa" w:w="110"/>
            </w:tcMar>
            <w:vAlign w:val="center"/>
          </w:tcPr>
          <w:p>
            <w:pPr>
              <w:jc w:val="left"/>
            </w:pPr>
            <w:r>
              <w:rPr>
                <w:rFonts w:ascii="Arial" w:cs="Arial" w:eastAsia="Arial" w:hAnsi="Arial"/>
                <w:b/>
                <w:bCs/>
                <w:color w:val="1F4E79"/>
                <w:sz w:val="20"/>
                <w:szCs w:val="20"/>
              </w:rPr>
              <w:t xml:space="preserve">Container image scan failure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IBM VA or Safety scan returns HIGH/CRITICAL finding in pipeline</w:t>
            </w:r>
          </w:p>
        </w:tc>
        <w:tc>
          <w:tcPr>
            <w:tcW w:type="dxa" w:w="900"/>
            <w:tcBorders>
              <w:top w:val="single" w:color="CCCCCC" w:sz="1"/>
              <w:left w:val="single" w:color="CCCCCC" w:sz="1"/>
              <w:bottom w:val="single" w:color="CCCCCC" w:sz="1"/>
              <w:right w:val="single" w:color="CCCCCC" w:sz="1"/>
            </w:tcBorders>
            <w:shd w:fill="FDE8E8" w:val="clear"/>
            <w:tcMar>
              <w:top w:type="dxa" w:w="70"/>
              <w:left w:type="dxa" w:w="110"/>
              <w:bottom w:type="dxa" w:w="70"/>
              <w:right w:type="dxa" w:w="110"/>
            </w:tcMar>
            <w:vAlign w:val="center"/>
          </w:tcPr>
          <w:p>
            <w:pPr>
              <w:jc w:val="center"/>
            </w:pPr>
            <w:r>
              <w:rPr>
                <w:rFonts w:ascii="Arial" w:cs="Arial" w:eastAsia="Arial" w:hAnsi="Arial"/>
                <w:b/>
                <w:bCs/>
                <w:color w:val="7B1515"/>
                <w:sz w:val="20"/>
                <w:szCs w:val="20"/>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center"/>
            </w:pPr>
            <w:r>
              <w:rPr>
                <w:rFonts w:ascii="Arial" w:cs="Arial" w:eastAsia="Arial" w:hAnsi="Arial"/>
                <w:b w:val="false"/>
                <w:bCs w:val="false"/>
                <w:color w:val="000000"/>
                <w:sz w:val="20"/>
                <w:szCs w:val="20"/>
              </w:rPr>
              <w:t xml:space="preserve">4 hours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jc w:val="left"/>
            </w:pPr>
            <w:r>
              <w:rPr>
                <w:rFonts w:ascii="Arial" w:cs="Arial" w:eastAsia="Arial" w:hAnsi="Arial"/>
                <w:b w:val="false"/>
                <w:bCs w:val="false"/>
                <w:color w:val="000000"/>
                <w:sz w:val="20"/>
                <w:szCs w:val="20"/>
              </w:rPr>
              <w:t xml:space="preserve">DevOps Slack + Security Slack</w:t>
            </w:r>
          </w:p>
        </w:tc>
      </w:tr>
    </w:tbl>
    <w:p>
      <w:pPr>
        <w:spacing w:after="0" w:before="120"/>
      </w:pPr>
      <w:r>
        <w:t xml:space="preserve"/>
      </w:r>
    </w:p>
    <w:p>
      <w:pPr>
        <w:pStyle w:val="Heading2"/>
        <w:spacing w:after="130" w:before="280"/>
      </w:pPr>
      <w:r>
        <w:rPr>
          <w:rFonts w:ascii="Arial" w:cs="Arial" w:eastAsia="Arial" w:hAnsi="Arial"/>
          <w:b/>
          <w:bCs/>
          <w:color w:val="2E75B6"/>
          <w:sz w:val="26"/>
          <w:szCs w:val="26"/>
        </w:rPr>
        <w:t xml:space="preserve">5.4  Audit Trail Controls</w:t>
      </w:r>
    </w:p>
    <w:p>
      <w:pPr>
        <w:spacing w:after="100" w:before="80"/>
      </w:pPr>
      <w:r>
        <w:rPr>
          <w:rFonts w:ascii="Arial" w:cs="Arial" w:eastAsia="Arial" w:hAnsi="Arial"/>
          <w:sz w:val="22"/>
          <w:szCs w:val="22"/>
        </w:rPr>
        <w:t xml:space="preserve">The immutability of the audit trail is a hard requirement under both GDPR and PCI-DSS. IBM Cloud Object Storage buckets designated for audit log retention are configured with Object Lock (WORM) policy set to a 7-year retention period. No identity — including IBM Cloud account owners and the Security and Compliance Director — can modify or delete objects within the retention window. This architectural control ensures that audit evidence is available and unaltered for regulatory inspection, internal investigations, and legal proceedings, regardless of any subsequent changes to access policies.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Audit Control</w:t>
            </w:r>
          </w:p>
        </w:tc>
        <w:tc>
          <w:tcPr>
            <w:tcW w:type="dxa" w:w="456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Mechanism</w:t>
            </w:r>
          </w:p>
        </w:tc>
        <w:tc>
          <w:tcPr>
            <w:tcW w:type="dxa" w:w="24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Compliance Obligation</w:t>
            </w:r>
          </w:p>
        </w:tc>
      </w:tr>
      <w:tr>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Log immutability</w:t>
            </w:r>
          </w:p>
        </w:tc>
        <w:tc>
          <w:tcPr>
            <w:tcW w:type="dxa" w:w="45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IBM COS Object Lock (WORM) — 7-year retention; no delete or overwrite permitted within retention window</w:t>
            </w:r>
          </w:p>
        </w:tc>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PCI-DSS Req. 10.5 (protect audit trails); GDPR Art. 30 (records of processing)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Log integrity verification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SHA-256 checksums computed on ingest; verified on scheduled basis by integrity check job; mismatches trigger HIGH alert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PCI-DSS Req. 10.5.1 (prevent modifications)</w:t>
            </w:r>
          </w:p>
        </w:tc>
      </w:tr>
      <w:tr>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Access to audit logs</w:t>
            </w:r>
          </w:p>
        </w:tc>
        <w:tc>
          <w:tcPr>
            <w:tcW w:type="dxa" w:w="45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MFA required; read-only IAM role; all accesses to audit bucket logged in Activity Tracker (meta-audit)</w:t>
            </w:r>
          </w:p>
        </w:tc>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PCI-DSS Req. 10.5.3 (promptly back up); GDPR accountability principle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Breach notification capability</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IBM Cloud Monitoring alert fires within 5 minutes of anomaly; GDPR 72-hour notification window supported by centralized log search</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GDPR Art. 33 (72-hour breach notification to supervisory authority)</w:t>
            </w:r>
          </w:p>
        </w:tc>
      </w:tr>
      <w:tr>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Audit log availability</w:t>
            </w:r>
          </w:p>
        </w:tc>
        <w:tc>
          <w:tcPr>
            <w:tcW w:type="dxa" w:w="45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COS Standard tier for 30-day hot access; Smart Tier transitions to Archive after 90 days; restore from Archive within 12 hours</w:t>
            </w:r>
          </w:p>
        </w:tc>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sz w:val="20"/>
                <w:szCs w:val="20"/>
              </w:rPr>
              <w:t xml:space="preserve">PCI-DSS Req. 10.7 (retain logs for at least 1 year, 3 months immediately available)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Change management audit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Every Kubernetes resource modification (kubectl apply/delete/patch) captured in kube-apiserver audit log; CI/CD deployment records tied to approver identity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PCI-DSS Req. 6.4 (change control); GDPR accountability principle</w:t>
            </w:r>
          </w:p>
        </w:tc>
      </w:tr>
    </w:tbl>
    <w:p>
      <w:pPr>
        <w:spacing w:after="0" w:before="120"/>
      </w:pPr>
      <w:r>
        <w:t xml:space="preserve"/>
      </w:r>
    </w:p>
    <w:p>
      <w:pPr>
        <w:pStyle w:val="Heading2"/>
        <w:spacing w:after="130" w:before="280"/>
      </w:pPr>
      <w:r>
        <w:rPr>
          <w:rFonts w:ascii="Arial" w:cs="Arial" w:eastAsia="Arial" w:hAnsi="Arial"/>
          <w:b/>
          <w:bCs/>
          <w:color w:val="2E75B6"/>
          <w:sz w:val="26"/>
          <w:szCs w:val="26"/>
        </w:rPr>
        <w:t xml:space="preserve">5.5  Compliance Reporting</w:t>
      </w:r>
    </w:p>
    <w:p>
      <w:pPr>
        <w:spacing w:after="100" w:before="80"/>
      </w:pPr>
      <w:r>
        <w:rPr>
          <w:rFonts w:ascii="Arial" w:cs="Arial" w:eastAsia="Arial" w:hAnsi="Arial"/>
          <w:sz w:val="22"/>
          <w:szCs w:val="22"/>
        </w:rPr>
        <w:t xml:space="preserve">Monthly and quarterly compliance reports are generated from the centralized log store and IBM Cloud Security and Compliance Center. These reports are shared with the Security and Compliance Director for review and are archived in the immutable COS audit bucket alongside the log data they reference. The following reports are produced on a scheduled basis:</w:t>
      </w:r>
    </w:p>
    <w:p>
      <w:pPr>
        <w:spacing w:after="0" w:before="60"/>
      </w:pPr>
      <w:r>
        <w:t xml:space="preserve"/>
      </w:r>
    </w:p>
    <w:p>
      <w:pPr>
        <w:pStyle w:val="ListParagraph"/>
        <w:numPr>
          <w:ilvl w:val="0"/>
          <w:numId w:val="2"/>
        </w:numPr>
        <w:spacing w:after="50" w:before="50"/>
      </w:pPr>
      <w:r>
        <w:rPr>
          <w:rFonts w:ascii="Arial" w:cs="Arial" w:eastAsia="Arial" w:hAnsi="Arial"/>
          <w:sz w:val="22"/>
          <w:szCs w:val="22"/>
        </w:rPr>
        <w:t xml:space="preserve">Monthly access certification report: all IAM role assignments across Production and PCI-scoped environments, with certification status from the most recent review cycle</w:t>
      </w:r>
    </w:p>
    <w:p>
      <w:pPr>
        <w:pStyle w:val="ListParagraph"/>
        <w:numPr>
          <w:ilvl w:val="0"/>
          <w:numId w:val="2"/>
        </w:numPr>
        <w:spacing w:after="50" w:before="50"/>
      </w:pPr>
      <w:r>
        <w:rPr>
          <w:rFonts w:ascii="Arial" w:cs="Arial" w:eastAsia="Arial" w:hAnsi="Arial"/>
          <w:sz w:val="22"/>
          <w:szCs w:val="22"/>
        </w:rPr>
        <w:t xml:space="preserve">Monthly security scan summary: aggregated findings from all pipeline runs in the period, grouped by severity and service, with remediation status</w:t>
      </w:r>
    </w:p>
    <w:p>
      <w:pPr>
        <w:pStyle w:val="ListParagraph"/>
        <w:numPr>
          <w:ilvl w:val="0"/>
          <w:numId w:val="2"/>
        </w:numPr>
        <w:spacing w:after="50" w:before="50"/>
      </w:pPr>
      <w:r>
        <w:rPr>
          <w:rFonts w:ascii="Arial" w:cs="Arial" w:eastAsia="Arial" w:hAnsi="Arial"/>
          <w:sz w:val="22"/>
          <w:szCs w:val="22"/>
        </w:rPr>
        <w:t xml:space="preserve">Quarterly DR test report: results of the most recent full failover drill, including achieved RTO and RPO, deviations from the runbook, and corrective actions</w:t>
      </w:r>
    </w:p>
    <w:p>
      <w:pPr>
        <w:pStyle w:val="ListParagraph"/>
        <w:numPr>
          <w:ilvl w:val="0"/>
          <w:numId w:val="2"/>
        </w:numPr>
        <w:spacing w:after="50" w:before="50"/>
      </w:pPr>
      <w:r>
        <w:rPr>
          <w:rFonts w:ascii="Arial" w:cs="Arial" w:eastAsia="Arial" w:hAnsi="Arial"/>
          <w:sz w:val="22"/>
          <w:szCs w:val="22"/>
        </w:rPr>
        <w:t xml:space="preserve">Quarterly PCI-DSS compliance attestation: evidence package for the Payment Isolation Zone, including network topology, access logs, scan results, and pen test findings</w:t>
      </w:r>
    </w:p>
    <w:p>
      <w:pPr>
        <w:pStyle w:val="ListParagraph"/>
        <w:numPr>
          <w:ilvl w:val="0"/>
          <w:numId w:val="2"/>
        </w:numPr>
        <w:spacing w:after="50" w:before="50"/>
      </w:pPr>
      <w:r>
        <w:rPr>
          <w:rFonts w:ascii="Arial" w:cs="Arial" w:eastAsia="Arial" w:hAnsi="Arial"/>
          <w:sz w:val="22"/>
          <w:szCs w:val="22"/>
        </w:rPr>
        <w:t xml:space="preserve">Annual GDPR processing register update: reviewed and approved record of all data processing activities involving EU customer personal data, per GDPR Article 30</w:t>
      </w:r>
    </w:p>
    <w:p>
      <w:pPr>
        <w:spacing w:after="0" w:before="80"/>
      </w:pPr>
      <w:r>
        <w:t xml:space="preserve"/>
      </w:r>
    </w:p>
    <w:p>
      <w:pPr>
        <w:pBdr>
          <w:bottom w:val="single" w:color="2E75B6" w:sz="6" w:space="1"/>
        </w:pBdr>
        <w:spacing w:after="200" w:before="200"/>
      </w:pPr>
      <w:r>
        <w:t xml:space="preserve"/>
      </w:r>
    </w:p>
    <w:p>
      <w:pPr>
        <w:spacing w:after="80" w:before="80"/>
        <w:jc w:val="center"/>
      </w:pPr>
      <w:r>
        <w:rPr>
          <w:rFonts w:ascii="Arial" w:cs="Arial" w:eastAsia="Arial" w:hAnsi="Arial"/>
          <w:color w:val="595959"/>
          <w:sz w:val="18"/>
          <w:szCs w:val="18"/>
        </w:rPr>
        <w:t xml:space="preserve">Global Retail Platform — Resilience and Compliance Strategy  |  March 2026  |  IBM Cloud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after="0" w:before="100"/>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40" w:before="0"/>
    </w:pPr>
    <w:r>
      <w:rPr>
        <w:rFonts w:ascii="Arial" w:cs="Arial" w:eastAsia="Arial" w:hAnsi="Arial"/>
        <w:color w:val="595959"/>
        <w:sz w:val="18"/>
        <w:szCs w:val="18"/>
      </w:rPr>
      <w:t xml:space="preserve">Global Retail Platform  |  Hybrid Cloud Modernization  |  Resilience and Compliance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1F4E79"/>
      <w:sz w:val="34"/>
      <w:szCs w:val="34"/>
    </w:rPr>
  </w:style>
  <w:style w:type="paragraph" w:styleId="Heading2">
    <w:name w:val="Heading 2"/>
    <w:basedOn w:val="Normal"/>
    <w:next w:val="Normal"/>
    <w:qFormat/>
    <w:pPr>
      <w:spacing w:after="13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2026-03-31T07:35:01.101Z</dcterms:created>
  <dcterms:modified xsi:type="dcterms:W3CDTF">2026-03-31T07:35:01.102Z</dcterms:modified>
</cp:coreProperties>
</file>

<file path=docProps/custom.xml><?xml version="1.0" encoding="utf-8"?>
<Properties xmlns="http://schemas.openxmlformats.org/officeDocument/2006/custom-properties" xmlns:vt="http://schemas.openxmlformats.org/officeDocument/2006/docPropsVTypes"/>
</file>