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3864"/>
          <w:sz w:val="52"/>
          <w:szCs w:val="52"/>
        </w:rPr>
        <w:t xml:space="preserve">Monitoring Metrics, KPIs</w:t>
      </w:r>
    </w:p>
    <w:p>
      <w:pPr>
        <w:spacing w:after="80" w:before="0"/>
      </w:pPr>
      <w:r>
        <w:rPr>
          <w:rFonts w:ascii="Arial" w:cs="Arial" w:eastAsia="Arial" w:hAnsi="Arial"/>
          <w:b/>
          <w:bCs/>
          <w:color w:val="1F3864"/>
          <w:sz w:val="52"/>
          <w:szCs w:val="52"/>
        </w:rPr>
        <w:t xml:space="preserve">and Alert Thresholds</w:t>
      </w:r>
    </w:p>
    <w:p>
      <w:pPr>
        <w:spacing w:after="80" w:before="0"/>
      </w:pPr>
      <w:r>
        <w:rPr>
          <w:rFonts w:ascii="Arial" w:cs="Arial" w:eastAsia="Arial" w:hAnsi="Arial"/>
          <w:color w:val="2E5F8A"/>
          <w:sz w:val="28"/>
          <w:szCs w:val="28"/>
        </w:rPr>
        <w:t xml:space="preserve">Operational Monitoring Design for Hybrid Cloud Operations</w:t>
      </w:r>
    </w:p>
    <w:p>
      <w:pPr>
        <w:pBdr>
          <w:bottom w:val="single" w:color="2E75B6" w:sz="8" w:space="6"/>
        </w:pBdr>
        <w:spacing w:after="320" w:before="0"/>
      </w:pPr>
      <w:r>
        <w:rPr>
          <w:rFonts w:ascii="Arial" w:cs="Arial" w:eastAsia="Arial" w:hAnsi="Arial"/>
          <w:color w:val="595959"/>
          <w:sz w:val="20"/>
          <w:szCs w:val="20"/>
        </w:rPr>
        <w:t xml:space="preserve">Global Retail Platform — Hybrid Cloud Modernization  |  IBM Cloud  |  March 2026</w:t>
      </w:r>
    </w:p>
    <w:p>
      <w:pPr>
        <w:pStyle w:val="Heading1"/>
        <w:pBdr>
          <w:bottom w:val="single" w:color="2E75B6" w:sz="6" w:space="4"/>
        </w:pBdr>
        <w:spacing w:after="160" w:before="320"/>
      </w:pPr>
      <w:r>
        <w:rPr>
          <w:rFonts w:ascii="Arial" w:cs="Arial" w:eastAsia="Arial" w:hAnsi="Arial"/>
          <w:b/>
          <w:bCs/>
          <w:color w:val="1F3864"/>
          <w:sz w:val="32"/>
          <w:szCs w:val="32"/>
        </w:rPr>
        <w:t xml:space="preserve">1.  Introduction</w:t>
      </w:r>
    </w:p>
    <w:p>
      <w:pPr>
        <w:spacing w:after="120" w:before="100"/>
      </w:pPr>
      <w:r>
        <w:rPr>
          <w:rFonts w:ascii="Arial" w:cs="Arial" w:eastAsia="Arial" w:hAnsi="Arial"/>
          <w:color w:val="1A1A1A"/>
          <w:sz w:val="22"/>
          <w:szCs w:val="22"/>
        </w:rPr>
        <w:t xml:space="preserve">The Global Retail Platform operates across a hybrid infrastructure spanning on-premises data centers, IBM Cloud US-South (primary production), and IBM Cloud EU-Central (Frankfurt) for GDPR compliance and disaster recovery. Because the platform simultaneously supports high-volume e-commerce — requiring sub-500ms checkout response at p95 and 99.95% monthly uptime — and regulated on-premises workloads including payment token vaults and EU customer PII databases, no single monitoring approach covers all failure modes.</w:t>
      </w:r>
    </w:p>
    <w:p>
      <w:pPr>
        <w:spacing w:after="120" w:before="100"/>
      </w:pPr>
      <w:r>
        <w:rPr>
          <w:rFonts w:ascii="Arial" w:cs="Arial" w:eastAsia="Arial" w:hAnsi="Arial"/>
          <w:color w:val="1A1A1A"/>
          <w:sz w:val="22"/>
          <w:szCs w:val="22"/>
        </w:rPr>
        <w:t xml:space="preserve">Monitoring provides the operational foundation that makes the architecture's availability and compliance commitments enforceable rather than aspirational. Metrics measure system behavior continuously: request latency, error rates, resource utilization, and connectivity health. From these raw measurements, a curated set of key performance indicators (KPIs) represents whether the platform is actually meeting the commitments made to each stakeholder — the VP of E-Commerce's revenue-protecting checkout SLA, the Security and Compliance Director's regulatory evidence requirements, and the DevOps Engineering Lead's mean time to recovery targets.</w:t>
      </w:r>
    </w:p>
    <w:p>
      <w:pPr>
        <w:spacing w:after="120" w:before="100"/>
      </w:pPr>
      <w:r>
        <w:rPr>
          <w:rFonts w:ascii="Arial" w:cs="Arial" w:eastAsia="Arial" w:hAnsi="Arial"/>
          <w:color w:val="1A1A1A"/>
          <w:sz w:val="22"/>
          <w:szCs w:val="22"/>
        </w:rPr>
        <w:t xml:space="preserve">Alert thresholds convert metrics into operational signals. When a threshold is crossed, the monitoring system either triggers an automated response — scaling out pod replicas, opening a circuit breaker, or initiating a DNS failover — or pages the on-call SRE with enough context to act immediately. This document defines the metrics, KPIs, thresholds, and response actions that govern operational visibility for the Global Retail Platform across every environment and cloud boundary.</w:t>
      </w:r>
    </w:p>
    <w:p>
      <w:pPr>
        <w:spacing w:after="200" w:before="100"/>
      </w:pPr>
      <w:r>
        <w:rPr>
          <w:rFonts w:ascii="Arial" w:cs="Arial" w:eastAsia="Arial" w:hAnsi="Arial"/>
          <w:color w:val="1A1A1A"/>
          <w:sz w:val="22"/>
          <w:szCs w:val="22"/>
        </w:rPr>
        <w:t xml:space="preserve">Monitoring coverage is not yet complete at initial deployment. The final section of this document honestly identifies the gaps — components that are partially instrumented, external dependencies that are opaque, and failure conditions for which alerts have not yet been defined. Documenting these gaps is itself a compliance obligation: the Security and Compliance Director requires that the audit trail reflect the actual observable state of the platform, not an idealized picture.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E8F0F8" w:val="clear"/>
            <w:tcMar>
              <w:top w:type="dxa" w:w="120"/>
              <w:left w:type="dxa" w:w="200"/>
              <w:bottom w:type="dxa" w:w="120"/>
              <w:right w:type="dxa" w:w="200"/>
            </w:tcMar>
          </w:tcPr>
          <w:p>
            <w:pPr>
              <w:spacing w:after="60"/>
            </w:pPr>
            <w:r>
              <w:rPr>
                <w:rFonts w:ascii="Arial" w:cs="Arial" w:eastAsia="Arial" w:hAnsi="Arial"/>
                <w:b/>
                <w:bCs/>
                <w:color w:val="2E5F8A"/>
                <w:sz w:val="20"/>
                <w:szCs w:val="20"/>
              </w:rPr>
              <w:t xml:space="preserve">Monitoring Scope</w:t>
            </w:r>
          </w:p>
          <w:p>
            <w:r>
              <w:rPr>
                <w:rFonts w:ascii="Arial" w:cs="Arial" w:eastAsia="Arial" w:hAnsi="Arial"/>
                <w:color w:val="1A1A1A"/>
                <w:sz w:val="20"/>
                <w:szCs w:val="20"/>
              </w:rPr>
              <w:t xml:space="preserve">This document covers: IBM Cloud IKS microservices (Product, Order, Checkout, Customer Profile, API Gateway), IBM Cloud managed databases (PostgreSQL, Redis), IBM Cloud Object Storage, hybrid connectivity (Direct Link 2.0, IPSec VPN), IBM Cloud Toolchain CI/CD pipeline, and on-premises connectivity endpoints. Operational targets: 99.95% uptime, p95 checkout latency ≤ 500ms, RTO ≤ 4 hours, RPO ≤ 1 hour.</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Critical System Metrics</w:t>
      </w:r>
    </w:p>
    <w:p>
      <w:pPr>
        <w:spacing w:after="120" w:before="100"/>
      </w:pPr>
      <w:r>
        <w:rPr>
          <w:rFonts w:ascii="Arial" w:cs="Arial" w:eastAsia="Arial" w:hAnsi="Arial"/>
          <w:color w:val="1A1A1A"/>
          <w:sz w:val="22"/>
          <w:szCs w:val="22"/>
        </w:rPr>
        <w:t xml:space="preserve">Critical system metrics are the raw measurements collected continuously from every layer of the hybrid platform. They form the observational foundation from which KPIs are derived and against which alert thresholds are evaluated. Metrics are organized into four categories — availability, performance, reliability, and capacity — reflecting the four dimensions along which the platform must be operationally healthy.</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2.1  Availability Metrics</w:t>
      </w:r>
    </w:p>
    <w:p>
      <w:pPr>
        <w:spacing w:after="120" w:before="100"/>
      </w:pPr>
      <w:r>
        <w:rPr>
          <w:rFonts w:ascii="Arial" w:cs="Arial" w:eastAsia="Arial" w:hAnsi="Arial"/>
          <w:color w:val="1A1A1A"/>
          <w:sz w:val="22"/>
          <w:szCs w:val="22"/>
        </w:rPr>
        <w:t xml:space="preserve">Availability metrics measure whether services and infrastructure components are reachable and responding correctly. A component that is running but returning errors is not available from the customer's perspective.</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56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 / Component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 Method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Uptime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IKS microservices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1-minute intervals in which the service health endpoint returns HTTP 200; measured per service per environment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Monitoring — HTTP synthetic check</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Health Endpoint Status</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Product, Order, Checkout, Customer Profile, API Gateway</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Binary up/down result of GET /health on each service; used by Kubernetes liveness probes and external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liveness probe + IBM Cloud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10s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Availability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PostgreSQL, Redis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Whether the managed database instance is accepting connections from the application subnet; measured by a lightweight probe query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Databases metrics + connection probe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Hybrid Link Status</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Direct Link 2.0, IPSec VPN</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Operational state of the primary and failover hybrid connectivity paths; alerts if primary degrades and failover does not activate within 30 seconds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Direct Link health API + VPN gateway metrics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DNS Resolution Success Rate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CIS global load balancer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DNS resolution queries that return a valid response; a drop signals CIS misconfiguration or Anycast routing failure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CIS health check metrics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Certificate Validity Days</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TLS endpoints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Days remaining until expiry for each TLS certificate on production endpoints; automated renewal via cert-manager; alert fires at 30 days remaining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cert-manager expiry exporter → IBM Cloud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24h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CI/CD Pipeline Availability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Toolchain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Whether the Toolchain pipeline service is accepting trigger events and executing stages; measured by a scheduled synthetic run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Toolchain event log + synthetic trigger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6h</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2.2  Performance Metrics</w:t>
      </w:r>
    </w:p>
    <w:p>
      <w:pPr>
        <w:spacing w:after="120" w:before="100"/>
      </w:pPr>
      <w:r>
        <w:rPr>
          <w:rFonts w:ascii="Arial" w:cs="Arial" w:eastAsia="Arial" w:hAnsi="Arial"/>
          <w:color w:val="1A1A1A"/>
          <w:sz w:val="22"/>
          <w:szCs w:val="22"/>
        </w:rPr>
        <w:t xml:space="preserve">Performance metrics measure how quickly and efficiently the platform processes requests. Latency and throughput metrics are the primary signal for whether the customer-facing checkout SLA and inventory synchronization requirements are being met.</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56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 / Component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 Method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Response Time (p50, p95, p99)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customer-facing APIs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End-to-end latency from API Gateway ingress to response completion, measured at three percentile levels; p95 ≤ 500ms is the NFR-02 checkout SLA threshold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Envoy telemetry → IBM Cloud Monitoring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request (aggregated every 30s)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Transaction Latency</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&amp; Payment API</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End-to-end time from cart submission event to order confirmation response; the primary user-facing SLA metric (≤ 500ms at p95)</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Distributed trace (Istio + Jaeger) → IBM Cloud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transaction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Inventory Sync Propagation Delay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Inventory Sync Service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Time elapsed between a warehouse stock-level change event and the updated availability appearing on customer-facing APIs; NFR target ≤ 5 seconds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Event Streams lag metric + timestamp delta in sync service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event</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Query Latency (p95)</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PostgreSQL, Redis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Time for database queries to return at the 95th percentile; Redis target &lt; 5ms; PostgreSQL target &lt; 50ms under normal load</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Databases slow query log + performance metrics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Requests Per Second (RPS)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Gateway, Product Svc, Checkout Svc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Current request throughput per service; used to trigger HPA scale-out and to detect abnormal traffic spikes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Envoy metrics → IBM Cloud Monitoring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15s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Message Queue Lag</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Event Streams (inventory sync topic)</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Number of unconsumed messages in the inventory sync Kafka topic; a growing lag indicates the consumer is falling behind producers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Event Streams consumer group lag metric</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CDN Cache Hit Rate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Internet Services CDN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static asset requests served from CDN edge cache vs. origin; a drop forces unnecessary load on origin servers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CIS analytics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5min</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2.3  Reliability Metrics</w:t>
      </w:r>
    </w:p>
    <w:p>
      <w:pPr>
        <w:spacing w:after="120" w:before="100"/>
      </w:pPr>
      <w:r>
        <w:rPr>
          <w:rFonts w:ascii="Arial" w:cs="Arial" w:eastAsia="Arial" w:hAnsi="Arial"/>
          <w:color w:val="1A1A1A"/>
          <w:sz w:val="22"/>
          <w:szCs w:val="22"/>
        </w:rPr>
        <w:t xml:space="preserve">Reliability metrics measure whether the platform is returning correct results and recovering from failures within defined objectives. They capture error rates, rollback events, and recovery time behavior.</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56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 / Component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 Method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 5xx Error Rate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IKS microservices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requests returning 5xx server errors; exceeding 1% sustained over 2 minutes is a SLA-threatening condition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access logs → IBM Cloud Log Analysis → Monitoring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request (aggregated 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 4xx Error Rate</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Gateway, all services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client error responses; a sudden spike often indicates a upstream API contract change or authentication failure, not a server fault</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Envoy metrics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request (aggregated every 60s)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Deployment Rollback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Toolchain / IKS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Number of automatic kubectl rollout undo events triggered by failed post-deployment health checks; a non-zero weekly count indicates a quality regression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CI/CD pipeline webhook → IBM Cloud Monitoring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deployment event</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Circuit Breaker Open Rate</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service mesh</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Count of circuit breaker open events per service pair per hour; circuit breakers opening frequently indicate a degraded upstream dependency</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pilot metrics → IBM Cloud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Pod Restart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IKS namespaces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Number of container restarts per pod in the last 15 minutes; repeated restarts (CrashLoopBackOff) indicate an application fault that Kubernetes cannot self-heal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kubectl events + IBM Cloud Monitoring kube-state-metrics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Backup Job Success Rate</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COS, PostgreSQL WAL</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scheduled backup and replication jobs completing with exit code 0; a failure breaks the RPO guarantee</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Scheduler job result + COS replication event log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job execution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Mean Time to Recovery (MTTR)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production services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Average time from incident detection (alert firing) to service restoration (alert resolving); tracked per incident and reported monthly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PagerDuty incident timeline → monthly report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 incident</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2.4  Capacity Metrics</w:t>
      </w:r>
    </w:p>
    <w:p>
      <w:pPr>
        <w:spacing w:after="120" w:before="100"/>
      </w:pPr>
      <w:r>
        <w:rPr>
          <w:rFonts w:ascii="Arial" w:cs="Arial" w:eastAsia="Arial" w:hAnsi="Arial"/>
          <w:color w:val="1A1A1A"/>
          <w:sz w:val="22"/>
          <w:szCs w:val="22"/>
        </w:rPr>
        <w:t xml:space="preserve">Capacity metrics measure how close the platform is to its resource limits. In a hybrid cloud environment, capacity constraints can appear on cloud infrastructure (IKS node pools, database IOPS), on-premises networks (Direct Link throughput), and in shared services (Redis memory, object storage quotas).</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56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 / Component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 Method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Frequency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Utilization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IKS worker nodes, all services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consumption as a percentage of requested/limit per pod and per node; primary HPA scale-out trigger for Product Svc (&gt;65%) and Checkout Svc (&gt;60%)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Monitoring node exporter + cAdvisor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Memory Utilization %</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IKS pods and worker nodes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Memory consumption as a percentage of limit; memory pressure causes OOM kills, which appear as unexpected pod restarts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Monitoring node exporter + cAdvisor</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IOPS Utilization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Block Storage (PostgreSQL)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I/O operations per second as a percentage of provisioned IOPS tier; checkout DB provisioned at 10 IOPS/GB; sustained &gt;80% signals need for tier upgrade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Block Storage metrics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Redis Memory Utilization %</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Databases for Redis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Percentage of allocated Redis memory in use; approaching 85% risks eviction of hot cache entries, increasing PostgreSQL read load</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Databases Redis metrics</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Direct Link Throughput Utilization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Direct Link 2.0 (10 Gbps)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Current aggregate bandwidth consumption as a percentage of the 10 Gbps circuit capacity; sustained &gt;70% under normal load requires capacity planning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Direct Link metrics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60s</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IKS Node Pool Saturation</w:t>
            </w:r>
          </w:p>
        </w:tc>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retail-prod-cluster worker pools</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Number of pods in Pending state due to insufficient node capacity; indicates HPA has reached its replica ceiling and new nodes are needed</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kube-state-metrics → IBM Cloud Monitoring</w:t>
            </w:r>
          </w:p>
        </w:tc>
        <w:tc>
          <w:tcPr>
            <w:tcW w:type="dxa" w:w="15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30s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Object Storage Bucket Utilization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Object Storage (all buckets)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Total storage consumed per bucket vs. configured soft quota; audit log bucket approaching quota would break WORM retention compliance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COS metrics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Every 24h</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3.  Key Performance Indicators (KPIs)</w:t>
      </w:r>
    </w:p>
    <w:p>
      <w:pPr>
        <w:spacing w:after="120" w:before="100"/>
      </w:pPr>
      <w:r>
        <w:rPr>
          <w:rFonts w:ascii="Arial" w:cs="Arial" w:eastAsia="Arial" w:hAnsi="Arial"/>
          <w:color w:val="1A1A1A"/>
          <w:sz w:val="22"/>
          <w:szCs w:val="22"/>
        </w:rPr>
        <w:t xml:space="preserve">Key performance indicators are the curated subset of metrics that directly represent whether the platform is meeting its operational commitments to each stakeholder. Every KPI below traces to at least one non-functional requirement or stakeholder concern identified in the requirements document. Unlike raw metrics — which are collected for diagnostic purposes — KPIs are the indicators reported in operational dashboards, stakeholder briefings, and compliance reports.</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60"/>
        <w:gridCol w:w="1600"/>
        <w:gridCol w:w="1800"/>
        <w:gridCol w:w="1680"/>
        <w:gridCol w:w="2680"/>
      </w:tblGrid>
      <w:tr>
        <w:trPr>
          <w:tblHeader/>
        </w:trPr>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Value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 Metric(s)</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Stakeholder</w:t>
            </w:r>
          </w:p>
        </w:tc>
        <w:tc>
          <w:tcPr>
            <w:tcW w:type="dxa" w:w="2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NFR Traceability</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Platform Availability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99.95% per calendar month (≤ 4.4h downtime/month)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Uptime % aggregated across all production services weighted by criticality</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CTO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NFR-01: 99.95% uptime during peak seasonal trading events</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Transaction Latency (p95)</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500ms end-to-end</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Transaction Latency (p95) from distributed trace</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NFR-02: ≤ 500ms at p95 under peak load; direct checkout conversion rate impact</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Request Success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99.5% of all requests return non-5xx responses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 5xx Error Rate across all customer-facing services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DevOps Lead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NFR-01: availability; FR-03: RESTful API reliability for third-party partner integrations</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Inventory Sync Propagation Delay</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5 seconds from stock-level change to API visibility</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Inventory Sync Propagation Delay + Message Queue Lag</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Head of Supply Chain</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FR-01: real-time inventory sync across all regional warehouses within 5 seconds</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Recovery Time Objective (RTO) Achievement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restoration within 4 hours of confirmed regional outage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Time from CIS health check failure to Frankfurt standby smoke test passing</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CTO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NFR-03: RTO ≤ 4 hours; actual achieved target per DR procedure is ~90 minutes</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Recovery Point Objective (RPO) Achievement</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Maximum data loss window ≤ 1 hour (15-minute WAL shipping lag)</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PostgreSQL WAL replication lag + backup job success rate</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Security Director</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NFR-03: RPO ≤ 1 hour; PostgreSQL WAL archiving supports &lt; 15-minute recovery point</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Deployment Success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98% of production deployments complete without rollback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Deployment Rollback Count / Total Deployments per month</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 NFR: eliminate manual intervention risk; automated rollback on health check failure</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Mean Time to Recovery (MTTR)</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 30 minutes for P1 incidents (service-level outages)</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MTTR per PagerDuty incident, monthly rolling average</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 objective: fast MTTR from centralized observability; kubectl rollout undo &lt; 5min</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Peak Concurrent User Capacity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Sustain 50,000 concurrent users with &lt; 10% latency degradation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Utilization %, RPS, p95 API Response Time during load tests and peak events</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CTO</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NFR-06: linear scaling to 10× baseline with ≤ 10% latency degradation; HPA ceiling: 20 replicas</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Scan Pass Rate</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100% of CI/CD pipeline runs pass all three security scans with zero HIGH/CRITICAL findings reaching artifact creation</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scan results from Safety, IBM VA, SonarQube per pipeline run</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 requirement: shift-left vulnerability detection; GDPR/PCI-DSS evidence trail</w:t>
            </w:r>
          </w:p>
        </w:tc>
      </w:tr>
      <w:tr>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Audit Log Integrity 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100% of audit log objects pass SHA-256 integrity verification; 0 WORM policy violations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Backup integrity check job result; IBM COS Object Lock compliance report</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PCI-DSS Req. 10.5.1: protect audit trails; GDPR Art. 30: records of processing</w:t>
            </w:r>
          </w:p>
        </w:tc>
      </w:tr>
      <w:tr>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TLS Certificate Validity</w:t>
            </w:r>
          </w:p>
        </w:tc>
        <w:tc>
          <w:tcPr>
            <w:tcW w:type="dxa" w:w="16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Zero production endpoints with &lt; 30 days remaining on TLS certificate</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Certificate Validity Days metric across all production HTTPS endpoints</w:t>
            </w:r>
          </w:p>
        </w:tc>
        <w:tc>
          <w:tcPr>
            <w:tcW w:type="dxa" w:w="1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 DevOps Lead</w:t>
            </w:r>
          </w:p>
        </w:tc>
        <w:tc>
          <w:tcPr>
            <w:tcW w:type="dxa" w:w="268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NFR-04: TLS 1.3 in transit; cert-manager automates renewal; alert at 30-day threshold</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4.  Alert Thresholds</w:t>
      </w:r>
    </w:p>
    <w:p>
      <w:pPr>
        <w:spacing w:after="120" w:before="100"/>
      </w:pPr>
      <w:r>
        <w:rPr>
          <w:rFonts w:ascii="Arial" w:cs="Arial" w:eastAsia="Arial" w:hAnsi="Arial"/>
          <w:color w:val="1A1A1A"/>
          <w:sz w:val="22"/>
          <w:szCs w:val="22"/>
        </w:rPr>
        <w:t xml:space="preserve">Alert thresholds define the numeric boundaries at which a metric transitions from normal operating behavior into a state that requires attention. The Global Retail Platform uses a two-level threshold model: a WARNING level that signals a degrading trend requiring investigation before it becomes a customer-impacting failure, and a CRITICAL level that signals an active or imminent SLA breach requiring immediate action. All thresholds are anchored to the NFR targets established in the requirements document — no threshold is arbitrary.</w:t>
      </w:r>
    </w:p>
    <w:p>
      <w:pPr>
        <w:spacing w:after="120" w:before="100"/>
      </w:pPr>
      <w:r>
        <w:rPr>
          <w:rFonts w:ascii="Arial" w:cs="Arial" w:eastAsia="Arial" w:hAnsi="Arial"/>
          <w:color w:val="1A1A1A"/>
          <w:sz w:val="22"/>
          <w:szCs w:val="22"/>
        </w:rPr>
        <w:t xml:space="preserve">Static thresholds are used for metrics with well-defined, stable bounds (e.g., the 500ms checkout SLA). Dynamic thresholds — not yet fully implemented and documented as a coverage gap in Section 6 — would adapt to observed baseline patterns to reduce false positives during expected traffic variations such as Black Friday ramp-up.</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4.1  Availability and Reliability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0"/>
        <w:gridCol w:w="1040"/>
        <w:gridCol w:w="1960"/>
        <w:gridCol w:w="1960"/>
        <w:gridCol w:w="2720"/>
      </w:tblGrid>
      <w:tr>
        <w:trPr>
          <w:tblHeader/>
        </w:trPr>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1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Warning Threshold</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Critical Threshold</w:t>
            </w:r>
          </w:p>
        </w:tc>
        <w:tc>
          <w:tcPr>
            <w:tcW w:type="dxa" w:w="2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Uptime %</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&lt; 99.97% in rolling 30-day window</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&lt; 99.95% in rolling 30-day window</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99.95% is the NFR-01 contractual SLA; breaching it is a reportable compliance event for the Security Director and a direct revenue risk for the VP E-Commerce</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Health Endpoint Status</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2 consecutive failures (20s)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3 consecutive failures (30s) — Kubernetes marks pod Unhealthy</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liveness probe default; 30s unhealthy state triggers pod restart; persistent restarts (3+) within 5 minutes trigger PagerDuty P1</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 5xx Error Rate</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1% of requests over 2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5% of requests over 2 minutes</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1% sustained over 2 minutes is sufficient to degrade user experience during Black Friday; 5% represents a service-level failure requiring immediate SRE intervention</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HTTP 4xx Error Rate</w:t>
            </w:r>
          </w:p>
        </w:tc>
        <w:tc>
          <w:tcPr>
            <w:tcW w:type="dxa" w:w="104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MEDIUM</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5% of requests over 5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20% of requests over 5 minutes</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 4xx rates typically indicate upstream configuration changes or authentication failures rather than server faults; critical threshold suggests a breaking API contract change</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Pod Restart Count</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2 restarts in 15 minutes for any pod</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5 restarts in 15 minutes (CrashLoopBackOff)</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Repeated restarts indicate an application fault Kubernetes cannot self-heal; CrashLoopBackOff means the service is effectively unavailable and contributes to downtime against the 99.95% SLA</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Deployment Rollback Event</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1 rollback in any 7-day window</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2 rollbacks in any 7-day window for the same service</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 single rollback may be a one-off failure; two rollbacks for the same service within a week indicate a systematic quality problem that must be investigated before the next deployment attempt</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Backup Job Success Rate</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Any single backup job failure</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Two consecutive backup failures for the same asset</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 single failure may be transient; two consecutive failures for PostgreSQL WAL shipping or inventory snapshots would push the RPO beyond the 1-hour guarantee and trigger a compliance notification</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4.2  Performance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0"/>
        <w:gridCol w:w="1040"/>
        <w:gridCol w:w="1960"/>
        <w:gridCol w:w="1960"/>
        <w:gridCol w:w="2720"/>
      </w:tblGrid>
      <w:tr>
        <w:trPr>
          <w:tblHeader/>
        </w:trPr>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1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Warning Threshold</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Critical Threshold</w:t>
            </w:r>
          </w:p>
        </w:tc>
        <w:tc>
          <w:tcPr>
            <w:tcW w:type="dxa" w:w="2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Transaction Latency (p95)</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400ms sustained over 3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500ms sustained over 3 minutes</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500ms is the NFR-02 contractual SLA. Warning at 400ms gives 3 minutes of runway to scale out pod replicas or flush Redis cache before the SLA is breached and checkout conversion rates drop</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API Response Time — Product Svc (p95)</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300ms sustained over 3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600ms sustained over 3 minutes</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Product browse latency directly affects session engagement and adds to the overall checkout latency chain; 600ms at p95 indicates Redis cache exhaustion or PostgreSQL read saturation</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Inventory Sync Propagation Delay</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3 seconds for &gt; 5 consecutive events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5 seconds for any single event (FR-01 breach)</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FR-01 mandates 5-second propagation. Warning at 3 seconds allows investigation of Kafka consumer lag or Direct Link congestion before the functional requirement is violated and overselling risk increases</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Message Queue Lag (Event Streams)</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500 messages unconsumed in inventory sync topic</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2,000 messages unconsumed — consumer is not keeping up with producers</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Queue lag directly causes inventory propagation delay; 2,000 messages at typical throughput represents &gt; 30 seconds of delay, making FR-01 compliance impossible until the lag is cleared</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Query Latency — PostgreSQL (p95)</w:t>
            </w:r>
          </w:p>
        </w:tc>
        <w:tc>
          <w:tcPr>
            <w:tcW w:type="dxa" w:w="104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MEDIUM</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100ms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250ms</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PostgreSQL query latency feeds directly into checkout and order service response times; 250ms at p95 consumes half the checkout SLA budget before application logic executes</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Redis Cache Hit Rate</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&lt; 85% hit rate over 5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&lt; 70% hit rate over 5 minutes</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Redis absorbs the majority of product catalogue reads; below 85% hit rate, read amplification begins propagating to PostgreSQL; below 70%, database saturation during peak load is likely</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CDN Cache Hit Rate</w:t>
            </w:r>
          </w:p>
        </w:tc>
        <w:tc>
          <w:tcPr>
            <w:tcW w:type="dxa" w:w="104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MEDIUM</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&lt; 80% over 10 minutes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&lt; 60% over 10 minutes</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 CDN cache miss forces requests to the origin IKS cluster, increasing load; below 60% during peak traffic, origin capacity may become a bottleneck for static asset delivery</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4.3  Capacity and Resource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0"/>
        <w:gridCol w:w="1040"/>
        <w:gridCol w:w="1960"/>
        <w:gridCol w:w="1960"/>
        <w:gridCol w:w="2720"/>
      </w:tblGrid>
      <w:tr>
        <w:trPr>
          <w:tblHeader/>
        </w:trPr>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1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Warning Threshold</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Critical Threshold</w:t>
            </w:r>
          </w:p>
        </w:tc>
        <w:tc>
          <w:tcPr>
            <w:tcW w:type="dxa" w:w="2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Utilization — Product Svc</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65% sustained 60 seconds — HPA triggers scale-out</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85% after HPA scale-out (ceiling reached)</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65% is the HPA scale-out trigger by design; warning = HPA is scaling normally. Critical = HPA has reached 20-replica ceiling and load cannot be absorbed; manual node pool expansion required</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Utilization — Checkout Svc</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60% sustained 60 seconds</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80% after HPA scale-out (15-replica ceiling reached)</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has the tightest latency SLA and a lower CPU threshold than Product Svc to allow faster scale-out headroom before the 500ms SLA is compromised</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Memory Utilization — Any IKS Pod</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80% of memory limit</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90% of memory limit (OOM kill risk)</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OOM kills cause abrupt pod termination and count as restarts; in the payment namespace, an OOM kill during a transaction can result in an incomplete checkout and customer-visible failure</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Redis Memory Utilization</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75% of allocated memory</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90% — eviction risk for hot cache keys</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Redis eviction of product catalogue keys during peak load would force cache misses to PostgreSQL, causing a latency spike that can exceed the checkout SLA within minutes</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Direct Link Throughput Utilization</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70% of 10 Gbps (7 Gbps sustained)</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90% of 10 Gbps (9 Gbps sustained for &gt; 2 minutes)</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At 90% utilization, Direct Link introduces queuing latency that breaks the &lt; 10ms hybrid path target for real-time inventory sync; approaching saturation risks automatic VPN failover activation, which adds encryption overhead</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Database IOPS Utilization (PostgreSQL checkout DB)</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70% of provisioned IOPS tier</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90% of provisioned IOPS — write queue forming</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IOPS exhaustion causes write queuing in PostgreSQL, directly increasing checkout transaction latency beyond the 500ms SLA; warning gives time to request IOPS burst before saturation occurs</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TLS Certificate Expiry</w:t>
            </w:r>
          </w:p>
        </w:tc>
        <w:tc>
          <w:tcPr>
            <w:tcW w:type="dxa" w:w="104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MEDIUM</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&lt; 30 days remaining on any production cert</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&lt; 7 days remaining — cert-manager renewal has failed</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cert-manager should auto-renew at 60 days; a warning at 30 days means automated renewal has failed and manual intervention is required; at 7 days, certificate expiry is imminent and a service outage is unavoidable without immediate action</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4.4  Security and Compliance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0"/>
        <w:gridCol w:w="1040"/>
        <w:gridCol w:w="1960"/>
        <w:gridCol w:w="1960"/>
        <w:gridCol w:w="2720"/>
      </w:tblGrid>
      <w:tr>
        <w:trPr>
          <w:tblHeader/>
        </w:trPr>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 / Event</w:t>
            </w:r>
          </w:p>
        </w:tc>
        <w:tc>
          <w:tcPr>
            <w:tcW w:type="dxa" w:w="1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Severity</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Warning Threshold</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Critical Threshold</w:t>
            </w:r>
          </w:p>
        </w:tc>
        <w:tc>
          <w:tcPr>
            <w:tcW w:type="dxa" w:w="27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Unauthorized API Access Attempts</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20 HTTP 401/403 per minute from a single source IP</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50 HTTP 401/403 per minute from a single source IP</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50 failed authentication attempts per minute from a single IP is consistent with credential stuffing or brute-force attack patterns; triggers WAF IP block and CISO notification</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Payment Namespace Egress Anomaly</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Any outbound connection attempt to a non-approved destination</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Connection established to unapproved destination</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Payment Isolation Zone (10.0.20.0/24) has NetworkPolicy default-deny egress; any outbound connection to an unapproved endpoint is a PCI-DSS scope violation and must be treated as a potential data exfiltration event</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IAM Privilege Escalation</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Any role assignment to a staging-level scope outside normal review cycle</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Any role assignment to Production or PCI-scoped resources outside approved change window</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Activity Tracker captures every IAM role assignment; production role assignments outside a change window indicate either a security incident or a process violation requiring immediate investigation by the Security Director</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EU Compliance Zone Data Egress</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&gt; 5 GB transfer from EU Compliance Zone (10.1.0.0/16) in 1 hour</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&gt; 10 GB transfer from EU Compliance Zone in 1 hour</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Abnormal data egress from the EU zone containing GDPR-regulated PII could represent unauthorized data export; the Security Director must be notified immediately as GDPR Article 33 requires breach notification to supervisory authorities within 72 hours</w:t>
            </w:r>
          </w:p>
        </w:tc>
      </w:tr>
      <w:tr>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Scan — HIGH/CRITICAL Finding</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Any HIGH severity CVE in dependency or container scan</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Any CRITICAL severity CVE; pipeline blocked from artifact promotion</w:t>
            </w:r>
          </w:p>
        </w:tc>
        <w:tc>
          <w:tcPr>
            <w:tcW w:type="dxa" w:w="2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CI/CD pipeline blocks artifact creation on any HIGH or CRITICAL finding; this threshold triggers a DevOps and Security Slack alert and a 4-hour remediation SLA for the responsible developer</w:t>
            </w:r>
          </w:p>
        </w:tc>
      </w:tr>
      <w:tr>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Audit Log Integrity Check</w:t>
            </w:r>
          </w:p>
        </w:tc>
        <w:tc>
          <w:tcPr>
            <w:tcW w:type="dxa" w:w="10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19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center"/>
          </w:tcPr>
          <w:p>
            <w:pPr>
              <w:jc w:val="left"/>
            </w:pPr>
            <w:r>
              <w:rPr>
                <w:rFonts w:ascii="Arial" w:cs="Arial" w:eastAsia="Arial" w:hAnsi="Arial"/>
                <w:b w:val="false"/>
                <w:bCs w:val="false"/>
                <w:color w:val="7D6608"/>
                <w:sz w:val="20"/>
                <w:szCs w:val="20"/>
              </w:rPr>
              <w:t xml:space="preserve">Any checksum mismatch on backup integrity verification</w:t>
            </w:r>
          </w:p>
        </w:tc>
        <w:tc>
          <w:tcPr>
            <w:tcW w:type="dxa" w:w="1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WORM Object Lock violation detected on any audit log bucket</w:t>
            </w:r>
          </w:p>
        </w:tc>
        <w:tc>
          <w:tcPr>
            <w:tcW w:type="dxa" w:w="272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COS Object Lock ensures audit logs cannot be modified or deleted; any WORM policy violation would compromise the immutable evidence trail required for PCI-DSS Req. 10.5.1 and GDPR Art. 30 compliance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5.  Operational Response Actions</w:t>
      </w:r>
    </w:p>
    <w:p>
      <w:pPr>
        <w:spacing w:after="120" w:before="100"/>
      </w:pPr>
      <w:r>
        <w:rPr>
          <w:rFonts w:ascii="Arial" w:cs="Arial" w:eastAsia="Arial" w:hAnsi="Arial"/>
          <w:color w:val="1A1A1A"/>
          <w:sz w:val="22"/>
          <w:szCs w:val="22"/>
        </w:rPr>
        <w:t xml:space="preserve">Alert thresholds are only operationally useful when they are mapped to specific, pre-approved response actions. The Global Retail Platform uses a two-tier response model: automated responses that execute without human intervention for well-understood, reversible failure conditions, and escalated responses that notify and activate on-call personnel for conditions requiring judgment or carrying significant business impact. Both tiers are documented below so that any SRE or DevOps engineer responding to an incident can execute the correct action without ambiguity.</w:t>
      </w:r>
    </w:p>
    <w:p>
      <w:pPr>
        <w:spacing w:after="80" w:before="80"/>
      </w:pPr>
      <w:r>
        <w:t xml:space="preserve"/>
      </w:r>
    </w:p>
    <w:p>
      <w:pPr>
        <w:pStyle w:val="Heading2"/>
        <w:spacing w:after="120" w:before="240"/>
      </w:pPr>
      <w:r>
        <w:rPr>
          <w:rFonts w:ascii="Arial" w:cs="Arial" w:eastAsia="Arial" w:hAnsi="Arial"/>
          <w:b/>
          <w:bCs/>
          <w:color w:val="2E5F8A"/>
          <w:sz w:val="26"/>
          <w:szCs w:val="26"/>
        </w:rPr>
        <w:t xml:space="preserve">5.1  Automated Response Actions</w:t>
      </w:r>
    </w:p>
    <w:p>
      <w:pPr>
        <w:spacing w:after="120" w:before="100"/>
      </w:pPr>
      <w:r>
        <w:rPr>
          <w:rFonts w:ascii="Arial" w:cs="Arial" w:eastAsia="Arial" w:hAnsi="Arial"/>
          <w:color w:val="1A1A1A"/>
          <w:sz w:val="22"/>
          <w:szCs w:val="22"/>
        </w:rPr>
        <w:t xml:space="preserve">The following responses are triggered automatically by the monitoring system or by Kubernetes / Istio platform controls without human intervention. Automated responses are used for conditions that are predictable, reversible, and for which a correct mechanical response is well-defined.</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216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Alert Severity</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Automated Action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Mechanism</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Resolution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CPU utilization exceeds HPA threshold (Product Svc &gt; 65%, Checkout Svc &gt; 60%) for 60 seconds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WARNING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Scale out pod replicas up to configured maximum (Product: 20, Checkout: 15)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Horizontal Pod Autoscaler (HPA) — CPU and RPS metrics from IBM Cloud Monitoring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90 seconds to additional replicas serving traffic</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Health endpoint returns non-200 for 3 consecutive liveness probes (30 seconds)</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CRITICAL</w:t>
            </w:r>
          </w:p>
        </w:tc>
        <w:tc>
          <w:tcPr>
            <w:tcW w:type="dxa" w:w="2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Restart unhealthy pod; remove from service endpoint until readiness probe passes</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Kubernetes liveness probe → kubelet pod restart → Kubernetes service endpoint controller</w:t>
            </w:r>
          </w:p>
        </w:tc>
        <w:tc>
          <w:tcPr>
            <w:tcW w:type="dxa" w:w="1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60 seconds (restart) + readiness probe delay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Post-deployment health check returns non-200 within 300 seconds of production rollout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CRITICAL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Trigger kubectl rollout undo to revert to last known-good image; Slack notification sent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CI/CD pipeline Stage 5c rollback script + kubectl rollout undo + Slack webhook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5 minutes to previous image serving traffic</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Upstream service error rate exceeds Istio circuit breaker threshold</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w:t>
            </w:r>
          </w:p>
        </w:tc>
        <w:tc>
          <w:tcPr>
            <w:tcW w:type="dxa" w:w="2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Open circuit breaker; return 503 to caller immediately instead of queuing timeout requests; retry with exponential back-off and jitter</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Istio circuit breaker policy (Envoy cluster outlier detection)</w:t>
            </w:r>
          </w:p>
        </w:tc>
        <w:tc>
          <w:tcPr>
            <w:tcW w:type="dxa" w:w="1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Immediate — no queuing delay; circuit closes when upstream recovers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CIS regional health check returns non-200 for 3 consecutive probes over 2 minutes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CRITICAL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Update DNS routing to redirect all traffic to Frankfurt (EU) standby region; promote standby services to active via IBM Satellite runbook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CIS DNS failover rule → IBM Satellite runbook automation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22 minutes (per DR recovery procedure step 5)</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Direct Link circuit degrades or reports down state</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w:t>
            </w:r>
          </w:p>
        </w:tc>
        <w:tc>
          <w:tcPr>
            <w:tcW w:type="dxa" w:w="2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Activate IPSec VPN failover tunnel; reroute hybrid traffic through encrypted VPN path</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Direct Link health monitor → VPN gateway automatic activation</w:t>
            </w:r>
          </w:p>
        </w:tc>
        <w:tc>
          <w:tcPr>
            <w:tcW w:type="dxa" w:w="1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30 seconds (standby VPN activation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TLS certificate expiry &lt; 60 days detected by cert-manager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Initiate certificate renewal via Let's Encrypt ACME protocol; install renewed certificate without service restart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cert-manager CertificateRequest → ACME challenge → certificate rotation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&lt; 24 hours; service uninterrupted</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Backup or replication job exits with non-zero status</w:t>
            </w:r>
          </w:p>
        </w:tc>
        <w:tc>
          <w:tcPr>
            <w:tcW w:type="dxa" w:w="18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HIGH</w:t>
            </w:r>
          </w:p>
        </w:tc>
        <w:tc>
          <w:tcPr>
            <w:tcW w:type="dxa" w:w="23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Trigger immediate retry; if retry fails, fire PagerDuty alert and Slack notification to DevOps channel</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Scheduler retry policy + monitoring alert webhook</w:t>
            </w:r>
          </w:p>
        </w:tc>
        <w:tc>
          <w:tcPr>
            <w:tcW w:type="dxa" w:w="1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Retry within 5 minutes of failure</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5.2  Escalated Response Actions (Human-in-the-Loop)</w:t>
      </w:r>
    </w:p>
    <w:p>
      <w:pPr>
        <w:spacing w:after="120" w:before="100"/>
      </w:pPr>
      <w:r>
        <w:rPr>
          <w:rFonts w:ascii="Arial" w:cs="Arial" w:eastAsia="Arial" w:hAnsi="Arial"/>
          <w:color w:val="1A1A1A"/>
          <w:sz w:val="22"/>
          <w:szCs w:val="22"/>
        </w:rPr>
        <w:t xml:space="preserve">The following response actions require human judgment, cross-team coordination, or have compliance implications that make fully automated resolution inappropriate. Each action maps to a specific on-call role and a defined response SLA.</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2040"/>
        <w:gridCol w:w="2040"/>
        <w:gridCol w:w="2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 Condition</w:t>
            </w:r>
          </w:p>
        </w:tc>
        <w:tc>
          <w:tcPr>
            <w:tcW w:type="dxa" w:w="1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On-Call Role</w:t>
            </w:r>
          </w:p>
        </w:tc>
        <w:tc>
          <w:tcPr>
            <w:tcW w:type="dxa" w:w="20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SLA</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Response Actions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Service uptime falls below 99.95% in rolling 30-day window</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SRE Lead + VP E-Commerce</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5 min; Resolve: 4h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Open P1 incident; notify VP E-Commerce and CTO; execute DR runbook if outage is regional; post-incident review mandatory</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Checkout latency (p95) exceeds 500ms for &gt; 5 minutes</w:t>
            </w:r>
          </w:p>
        </w:tc>
        <w:tc>
          <w:tcPr>
            <w:tcW w:type="dxa" w:w="1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SRE On-Call + DevOps Lead</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5 min; Mitigate: 30 min</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Check Redis hit rate (flush cache if below 70%), verify HPA has scaled out, check PostgreSQL IOPS; escalate to VP E-Commerce if not resolved in 15 min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HPA has reached replica ceiling and CPU utilization remains critical</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10 min; Action: 30 min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Manually expand IKS node pool via Terraform apply in infrastructure pipeline; notify VP E-Commerce of capacity event; schedule post-event capacity review</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Payment namespace egress anomaly — connection to unapproved destination established</w:t>
            </w:r>
          </w:p>
        </w:tc>
        <w:tc>
          <w:tcPr>
            <w:tcW w:type="dxa" w:w="1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 + CISO</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5 min; Contain: 15 min</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Isolate payment namespace (apply restrictive emergency NetworkPolicy); notify CISO; preserve network flow logs; initiate PCI-DSS incident response; do not remediate without Security Director sign-off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IAM privilege escalation — Production role assigned outside change window</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 + DevOps Lead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10 min; Revoke: 15 min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Immediately revoke the assigned role; investigate Activity Tracker events for actions taken under the escalated role; determine whether unauthorized access occurred; notify VP E-Commerce if production data may have been accessed</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EU Compliance Zone data egress &gt; 10 GB in 1 hour</w:t>
            </w:r>
          </w:p>
        </w:tc>
        <w:tc>
          <w:tcPr>
            <w:tcW w:type="dxa" w:w="1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Director</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5 min; Contain: 30 min</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Block egress ACL on EU Compliance Zone immediately; review VPC flow logs to identify data destination; notify Data Protection Officer (DPO); assess whether GDPR Article 33 72-hour breach notification is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Two consecutive backup job failures for the same asset (PostgreSQL or inventory snapshots)</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P1</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SRE On-Call + DevOps Lead</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10 min; Resolve: 1h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Diagnose root cause (network, IAM, storage quota); manually trigger corrective backup; verify RPO compliance; notify VP E-Commerce and Security Director if RPO gap &gt; 1 hour</w:t>
            </w:r>
          </w:p>
        </w:tc>
      </w:tr>
      <w:tr>
        <w:tc>
          <w:tcPr>
            <w:tcW w:type="dxa" w:w="2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MTTR for P1 incidents exceeds 30-minute target in rolling monthly average</w:t>
            </w:r>
          </w:p>
        </w:tc>
        <w:tc>
          <w:tcPr>
            <w:tcW w:type="dxa" w:w="1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P2</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w:t>
            </w:r>
          </w:p>
        </w:tc>
        <w:tc>
          <w:tcPr>
            <w:tcW w:type="dxa" w:w="20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Review: 48h</w:t>
            </w:r>
          </w:p>
        </w:tc>
        <w:tc>
          <w:tcPr>
            <w:tcW w:type="dxa" w:w="24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Conduct retrospective on P1 incidents from the period; identify runbook gaps, tooling deficiencies, or escalation delays; update runbooks and present improvement plan to CTO at next monthly review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Security scan HIGH/CRITICAL finding blocks pipeline for &gt; 4 hours without remediation</w:t>
            </w:r>
          </w:p>
        </w:tc>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P2</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 + Security Director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Acknowledge: 30 min; Plan: 4h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Review the finding with the responsible developer; approve a temporary suppression only if mitigated by compensating control; log suppression decision in audit trail; no deployment exception without Security Director sign-off</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6.  Monitoring Coverage Gaps</w:t>
      </w:r>
    </w:p>
    <w:p>
      <w:pPr>
        <w:spacing w:after="120" w:before="100"/>
      </w:pPr>
      <w:r>
        <w:rPr>
          <w:rFonts w:ascii="Arial" w:cs="Arial" w:eastAsia="Arial" w:hAnsi="Arial"/>
          <w:color w:val="1A1A1A"/>
          <w:sz w:val="22"/>
          <w:szCs w:val="22"/>
        </w:rPr>
        <w:t xml:space="preserve">The monitoring strategy documented in this paper does not provide complete observability across every component of the Global Retail Platform at initial deployment. Documenting these gaps explicitly is a requirement of the Security and Compliance Director: the audit trail must reflect the actual observable state of the platform, not a theoretical ideal. Each gap below includes an impact assessment, a remediation plan, and a target resolution date to support compliance reporting.</w:t>
      </w:r>
    </w:p>
    <w:p>
      <w:pPr>
        <w:spacing w:after="8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1960"/>
        <w:gridCol w:w="1960"/>
        <w:gridCol w:w="1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Coverage Gap</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 Compliance Impact</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Remediation Plan</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Resolution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On-Premises WMS and ERP Observability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on-premises inventory WMS and ERP systems do not currently expose metrics to IBM Cloud Monitoring. Their internal health, performance, and queue depth are opaque; monitoring is limited to the output that crosses the hybrid connectivity boundary into the cloud Inventory Sync Service.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Supply Chain: a degraded WMS that is still accepting connections but processing orders slowly would not trigger any alert until the Inventory Sync propagation delay threshold is exceeded — by which point overselling may already have occurred for several minutes.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 IBM Instana or a lightweight Prometheus exporter on on-premises application servers; route metrics to IBM Cloud Monitoring via IBM Satellite Link. Establish baseline metrics within 30 days of Satellite agent deployment.</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Dynamic (Baseline-Adaptive) Alert Thresholds</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alert thresholds in this document are static values. During Black Friday ramp-up or scheduled promotional events, normal traffic patterns differ significantly from baseline, causing false-positive alerts that can create alert fatigue among on-call SREs and delay response to genuine incidents.</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Operational: alert fatigue from expected traffic spikes may cause on-call engineers to dismiss genuine performance degradation as Black Friday noise. A false-positive rate above 20% is known to reduce operator response quality.</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Implement IBM Cloud Monitoring anomaly detection rules that use 4-week rolling baselines to adjust thresholds dynamically during known high-traffic windows. Tag scheduled events in the monitoring system to suppress known-good deviations.</w:t>
            </w:r>
          </w:p>
        </w:tc>
        <w:tc>
          <w:tcPr>
            <w:tcW w:type="dxa" w:w="16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Third-Party Payment Processor Monitoring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Checkout and Payment API communicates with external payment processor APIs (Visa, Mastercard, Stripe) over mTLS. The current monitoring stack observes response codes returned to the Checkout service but has no visibility into payment processor-side latency, availability, or error categorization.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VP E-Commerce: checkout failures caused by payment processor outages are indistinguishable in current alerting from Checkout service failures; the wrong runbook may be executed, wasting critical incident response time during a payment outage.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Implement a dedicated payment processor health monitoring probe that calls each processor's public status API every 60 seconds and feeds the result into IBM Cloud Monitoring as a synthetic availability metric. Configure a separate alert routing path for payment processor failures.</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Third-Party Logistics (3PL) API Observability</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Order routing to third-party logistics providers is handled by the Order Processing Service, but the availability and response time of each 3PL API endpoint is not independently monitored. Degradation of a single 3PL API is only detectable when order routing failures begin surfacing in the Order Service error rate.</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Supply Chain / VP E-Commerce: a degraded 3PL endpoint causing order routing failures may go undetected for several minutes, accumulating failed fulfillment events that require manual remediation and may result in delayed or missed shipments.</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Add a synthetic HTTP monitor for each 3PL API health endpoint (or a standardized request); route latency and availability metrics into IBM Cloud Monitoring with a dedicated alert for any 3PL endpoint exceeding 5s response time or returning non-200 status.</w:t>
            </w:r>
          </w:p>
        </w:tc>
        <w:tc>
          <w:tcPr>
            <w:tcW w:type="dxa" w:w="16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Q3 2026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End-to-End Distributed Tracing (Full Coverage)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Distributed tracing is partially enabled through Istio and Jaeger but does not yet cover all services uniformly. Legacy components of the Order Processing Service that communicate with on-premises ERP via the Hybrid Connectivity Zone are not instrumented for trace context propagation, creating trace gaps that make it impossible to attribute checkout latency to a specific hybrid call.</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 / MTTR: incomplete trace coverage means that during a latency incident involving the hybrid order routing path, the SRE cannot determine whether the latency originates in the cloud service, the Direct Link path, or the on-premises ERP — extending MTTR.</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Instrument remaining Order Processing Service code paths with OpenTelemetry SDK; propagate W3C Trace Context headers across the Direct Link boundary to on-premises services; import on-premises traces into IBM Cloud Monitoring via OTLP exporter.</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On-Premises POS and Store System Monitoring</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Point-of-sale terminals and in-store systems are outside the current monitoring scope. Their network connectivity to on-premises infrastructure and their transaction throughput are not visible to the centralized IBM Cloud Monitoring instance.</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Head of Supply Chain / Store Operations: a store network outage that disconnects POS terminals from the on-premises inventory WMS would not trigger any alert in the current monitoring configuration; the first signal would be a customer complaint or a manual store manager escalation.</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Deploy lightweight POS connectivity health agents that report heartbeat signals via the on-premises LAN to an IBM Instana agent, which aggregates and forwards store health metrics to IBM Cloud Monitoring via IBM Satellite. Define alert thresholds for POS terminal offline count per store.</w:t>
            </w:r>
          </w:p>
        </w:tc>
        <w:tc>
          <w:tcPr>
            <w:tcW w:type="dxa" w:w="16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Q4 2026</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IBM Cloud Toolchain Pipeline Health Monitoring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CI/CD pipeline execution metrics (stage duration, failure rate, approval wait time) are available in Toolchain logs but are not surfaced in IBM Cloud Monitoring dashboards or included in automated alerting. A pipeline that is silently failing or queued for approval beyond the timeout window is not currently visible to the operations team.</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DevOps Lead: a 48-hour approval timeout on a Staging deployment that expires without notification means a release is silently blocked; the team discovers the failure when the next push triggers a conflict. Extended pipeline outages delay feature delivery and security patch deployment.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Integrate IBM Toolchain webhook events into IBM Cloud Monitoring as custom metrics; create alerts for: pipeline stage failure, approval timeout approaching (24h warning before the 48h Staging window expires), and pipeline unavailability exceeding 2 hours.</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Chaos Engineering and Resilience Validation</w:t>
            </w:r>
          </w:p>
        </w:tc>
        <w:tc>
          <w:tcPr>
            <w:tcW w:type="dxa" w:w="2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The monitoring system detects failures that occur naturally but does not have a mechanism for validating that alert thresholds and response actions behave correctly under simulated failure conditions. DR tests are conducted quarterly but do not cover all failure modes documented in the alert threshold tables.</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All Stakeholders: confidence in the alert and response system is based on specification rather than empirical validation. An alert that is correctly defined on paper but misconfigured in the monitoring tool will fail silently when the failure condition it is meant to detect actually occurs.</w:t>
            </w:r>
          </w:p>
        </w:tc>
        <w:tc>
          <w:tcPr>
            <w:tcW w:type="dxa" w:w="19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Implement a scheduled chaos engineering practice using a tool such as Chaos Monkey for Kubernetes or IBM Instana-based fault injection; run monthly simulated failure scenarios (pod kill, network partition, Direct Link degradation) and verify that the correct alerts fire and response actions execute.</w:t>
            </w:r>
          </w:p>
        </w:tc>
        <w:tc>
          <w:tcPr>
            <w:tcW w:type="dxa" w:w="164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vAlign w:val="center"/>
          </w:tcPr>
          <w:p>
            <w:pPr>
              <w:jc w:val="left"/>
            </w:pPr>
            <w:r>
              <w:rPr>
                <w:rFonts w:ascii="Arial" w:cs="Arial" w:eastAsia="Arial" w:hAnsi="Arial"/>
                <w:b w:val="false"/>
                <w:bCs w:val="false"/>
                <w:color w:val="1A1A1A"/>
                <w:sz w:val="20"/>
                <w:szCs w:val="20"/>
              </w:rPr>
              <w:t xml:space="preserve">Q4 2026</w:t>
            </w:r>
          </w:p>
        </w:tc>
      </w:tr>
    </w:tbl>
    <w:p>
      <w:pPr>
        <w:spacing w:after="80" w:before="80"/>
      </w:pPr>
      <w:r>
        <w:t xml:space="preserve"/>
      </w:r>
    </w:p>
    <w:p>
      <w:pPr>
        <w:pBdr>
          <w:top w:val="single" w:color="2E75B6" w:sz="6" w:space="6"/>
        </w:pBdr>
        <w:spacing w:after="80" w:before="400"/>
      </w:pPr>
      <w:r>
        <w:rPr>
          <w:rFonts w:ascii="Arial" w:cs="Arial" w:eastAsia="Arial" w:hAnsi="Arial"/>
          <w:color w:val="595959"/>
          <w:sz w:val="18"/>
          <w:szCs w:val="18"/>
        </w:rPr>
        <w:t xml:space="preserve">Global Retail Platform — Monitoring Metrics, KPIs and Alert Thresholds  |  March 2026  |  IBM Cloud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00"/>
      </w:tabs>
      <w:spacing w:before="120"/>
    </w:pPr>
    <w:r>
      <w:rPr>
        <w:rFonts w:ascii="Arial" w:cs="Arial" w:eastAsia="Arial" w:hAnsi="Arial"/>
        <w:color w:val="595959"/>
        <w:sz w:val="16"/>
        <w:szCs w:val="16"/>
      </w:rPr>
      <w:t xml:space="preserve">Global Retail Platform — lab-m4l2-monitoring-metrics-kpis-thresholds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40"/>
    </w:pPr>
    <w:r>
      <w:rPr>
        <w:rFonts w:ascii="Arial" w:cs="Arial" w:eastAsia="Arial" w:hAnsi="Arial"/>
        <w:color w:val="595959"/>
        <w:sz w:val="18"/>
        <w:szCs w:val="18"/>
      </w:rPr>
      <w:t xml:space="preserve">Monitoring Metrics, KPIs &amp; Alert Thresholds  |  Global Retail Platform  |  IBM Cloud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2026-03-31T08:06:49.463Z</dcterms:created>
  <dcterms:modified xsi:type="dcterms:W3CDTF">2026-03-31T08:06:49.464Z</dcterms:modified>
</cp:coreProperties>
</file>

<file path=docProps/custom.xml><?xml version="1.0" encoding="utf-8"?>
<Properties xmlns="http://schemas.openxmlformats.org/officeDocument/2006/custom-properties" xmlns:vt="http://schemas.openxmlformats.org/officeDocument/2006/docPropsVTypes"/>
</file>