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1F3864"/>
          <w:sz w:val="44"/>
          <w:szCs w:val="44"/>
        </w:rPr>
        <w:t xml:space="preserve">Stakeholder and Requirements Document</w:t>
      </w:r>
    </w:p>
    <w:p>
      <w:pPr>
        <w:spacing w:after="80"/>
      </w:pPr>
      <w:r>
        <w:rPr>
          <w:rFonts w:ascii="Arial" w:cs="Arial" w:eastAsia="Arial" w:hAnsi="Arial"/>
          <w:b/>
          <w:bCs/>
          <w:color w:val="2E75B6"/>
          <w:sz w:val="32"/>
          <w:szCs w:val="32"/>
        </w:rPr>
        <w:t xml:space="preserve">Global Retail Platform — Hybrid Cloud Modernization</w:t>
      </w:r>
    </w:p>
    <w:p>
      <w:pPr>
        <w:pBdr>
          <w:bottom w:val="single" w:color="2E75B6" w:sz="8" w:space="4"/>
        </w:pBdr>
        <w:spacing w:after="240"/>
      </w:pPr>
      <w:r>
        <w:rPr>
          <w:rFonts w:ascii="Arial" w:cs="Arial" w:eastAsia="Arial" w:hAnsi="Arial"/>
          <w:color w:val="888888"/>
          <w:sz w:val="20"/>
          <w:szCs w:val="20"/>
        </w:rPr>
        <w:t xml:space="preserve">Version 1.0  |  Architecture Initiative  |  March 30, 2026</w:t>
      </w:r>
    </w:p>
    <w:p>
      <w:pPr>
        <w:pStyle w:val="Heading1"/>
        <w:spacing w:after="160" w:before="360"/>
      </w:pPr>
      <w:r>
        <w:rPr>
          <w:rFonts w:ascii="Arial" w:cs="Arial" w:eastAsia="Arial" w:hAnsi="Arial"/>
          <w:b/>
          <w:bCs/>
          <w:color w:val="1F3864"/>
          <w:sz w:val="32"/>
          <w:szCs w:val="32"/>
        </w:rPr>
        <w:t xml:space="preserve">1.  Introduction</w:t>
      </w:r>
    </w:p>
    <w:p>
      <w:pPr>
        <w:spacing w:after="160"/>
      </w:pPr>
      <w:r>
        <w:rPr>
          <w:rFonts w:ascii="Arial" w:cs="Arial" w:eastAsia="Arial" w:hAnsi="Arial"/>
          <w:color w:val="333333"/>
          <w:sz w:val="22"/>
          <w:szCs w:val="22"/>
        </w:rPr>
        <w:t xml:space="preserve">This document captures the key stakeholders, functional requirements, and non-functional requirements for the global retail platform's hybrid cloud modernization initiative. The organization currently operates tightly coupled monolithic applications hosted in on-premises data centers. As the business expands into new markets, this architecture is limiting scalability, feature delivery velocity, and operational visibility.</w:t>
      </w:r>
    </w:p>
    <w:p>
      <w:pPr>
        <w:spacing w:after="160"/>
      </w:pPr>
      <w:r>
        <w:rPr>
          <w:rFonts w:ascii="Arial" w:cs="Arial" w:eastAsia="Arial" w:hAnsi="Arial"/>
          <w:color w:val="333333"/>
          <w:sz w:val="22"/>
          <w:szCs w:val="22"/>
        </w:rPr>
        <w:t xml:space="preserve">The purpose of this document is to establish a shared understanding of business objectives, risks, and system expectations before any architectural decisions are made. It is intended for use by the architecture and engineering teams as the foundation for system design, service decomposition, and infrastructure trade-off analysis throughout the modernization program.</w:t>
      </w:r>
    </w:p>
    <w:p>
      <w:pPr>
        <w:spacing w:after="120"/>
      </w:pPr>
      <w:r>
        <w:t xml:space="preserve"/>
      </w:r>
    </w:p>
    <w:p>
      <w:pPr>
        <w:pStyle w:val="Heading1"/>
        <w:spacing w:after="160" w:before="360"/>
      </w:pPr>
      <w:r>
        <w:rPr>
          <w:rFonts w:ascii="Arial" w:cs="Arial" w:eastAsia="Arial" w:hAnsi="Arial"/>
          <w:b/>
          <w:bCs/>
          <w:color w:val="1F3864"/>
          <w:sz w:val="32"/>
          <w:szCs w:val="32"/>
        </w:rPr>
        <w:t xml:space="preserve">2.  Stakeholder Register</w:t>
      </w:r>
    </w:p>
    <w:p>
      <w:pPr>
        <w:spacing w:after="160"/>
      </w:pPr>
      <w:r>
        <w:rPr>
          <w:rFonts w:ascii="Arial" w:cs="Arial" w:eastAsia="Arial" w:hAnsi="Arial"/>
          <w:color w:val="333333"/>
          <w:sz w:val="22"/>
          <w:szCs w:val="22"/>
        </w:rPr>
        <w:t xml:space="preserve">The following stakeholders have been identified as directly affected by, or accountable for outcomes of, the modernization initiative. Understanding each stakeholder's business objective and primary concern ensures that architectural decisions remain aligned with operational needs and business priorities.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Stakeholder Role</w:t>
            </w:r>
          </w:p>
        </w:tc>
        <w:tc>
          <w:tcPr>
            <w:tcW w:type="dxa" w:w="36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Business Objective</w:t>
            </w:r>
          </w:p>
        </w:tc>
        <w:tc>
          <w:tcPr>
            <w:tcW w:type="dxa" w:w="316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 Concern / Risk</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VP, E-Commerce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Maximize online revenue during peak seasons through a stable and high-performing checkout experience</w:t>
            </w:r>
          </w:p>
        </w:tc>
        <w:tc>
          <w:tcPr>
            <w:tcW w:type="dxa" w:w="3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System downtime or latency spikes during high-traffic events such as Black Friday cause direct revenue loss and customer churn</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Chief Technology Officer (CTO)</w:t>
            </w:r>
          </w:p>
        </w:tc>
        <w:tc>
          <w:tcPr>
            <w:tcW w:type="dxa" w:w="3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Deliver a scalable, cloud-native architecture that enables rapid feature deployment and long-term platform sustainability</w:t>
            </w:r>
          </w:p>
        </w:tc>
        <w:tc>
          <w:tcPr>
            <w:tcW w:type="dxa" w:w="31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Modernization introduces integration complexity, migration risk, and potential disruption to existing business operations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Head of Supply Chain Operations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Maintain accurate, real-time inventory visibility across all warehouses and distribution nodes globally</w:t>
            </w:r>
          </w:p>
        </w:tc>
        <w:tc>
          <w:tcPr>
            <w:tcW w:type="dxa" w:w="3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Inconsistent or delayed inventory data leads to overselling, fulfillment failures, and increased operational costs</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Security and Compliance Director</w:t>
            </w:r>
          </w:p>
        </w:tc>
        <w:tc>
          <w:tcPr>
            <w:tcW w:type="dxa" w:w="3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Ensure all platform components comply with regional data residency regulations, encryption standards, and access control policies</w:t>
            </w:r>
          </w:p>
        </w:tc>
        <w:tc>
          <w:tcPr>
            <w:tcW w:type="dxa" w:w="31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Migration to hybrid cloud may expose sensitive customer and transaction data if security controls are not enforced from the outset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DevOps Engineering Lead</w:t>
            </w:r>
          </w:p>
        </w:tc>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Establish automated CI/CD pipelines and infrastructure-as-code practices that enable reliable, repeatable deployments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The current monolithic release process creates deployment bottlenecks, manual intervention risk, and slow mean time to recovery (MTTR)</w:t>
            </w:r>
          </w:p>
        </w:tc>
      </w:tr>
    </w:tbl>
    <w:p>
      <w:pPr>
        <w:spacing w:after="120"/>
      </w:pPr>
      <w:r>
        <w:t xml:space="preserve"/>
      </w:r>
    </w:p>
    <w:p>
      <w:pPr>
        <w:pStyle w:val="Heading1"/>
        <w:spacing w:after="160" w:before="360"/>
      </w:pPr>
      <w:r>
        <w:rPr>
          <w:rFonts w:ascii="Arial" w:cs="Arial" w:eastAsia="Arial" w:hAnsi="Arial"/>
          <w:b/>
          <w:bCs/>
          <w:color w:val="1F3864"/>
          <w:sz w:val="32"/>
          <w:szCs w:val="32"/>
        </w:rPr>
        <w:t xml:space="preserve">3.  Functional Requirements</w:t>
      </w:r>
    </w:p>
    <w:p>
      <w:pPr>
        <w:spacing w:after="160"/>
      </w:pPr>
      <w:r>
        <w:rPr>
          <w:rFonts w:ascii="Arial" w:cs="Arial" w:eastAsia="Arial" w:hAnsi="Arial"/>
          <w:color w:val="333333"/>
          <w:sz w:val="22"/>
          <w:szCs w:val="22"/>
        </w:rPr>
        <w:t xml:space="preserve">Functional requirements define what the system must do — the capabilities the platform must provide to support business processes and customer interactions. Requirements are prioritized using the MoSCoW framework: Must (non-negotiable), Should (high priority), Could (desirable if capacity allows), and Won't (explicitly excluded from this release).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60"/>
        <w:gridCol w:w="1500"/>
        <w:gridCol w:w="1900"/>
      </w:tblGrid>
      <w:tr>
        <w:trPr>
          <w:tblHeader/>
        </w:trPr>
        <w:tc>
          <w:tcPr>
            <w:tcW w:type="dxa" w:w="9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ID</w:t>
            </w:r>
          </w:p>
        </w:tc>
        <w:tc>
          <w:tcPr>
            <w:tcW w:type="dxa" w:w="506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Requirement Description</w:t>
            </w:r>
          </w:p>
        </w:tc>
        <w:tc>
          <w:tcPr>
            <w:tcW w:type="dxa" w:w="15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Priority</w:t>
            </w:r>
          </w:p>
        </w:tc>
        <w:tc>
          <w:tcPr>
            <w:tcW w:type="dxa" w:w="19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Category</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FR-01</w:t>
            </w:r>
          </w:p>
        </w:tc>
        <w:tc>
          <w:tcPr>
            <w:tcW w:type="dxa" w:w="5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The system must synchronize inventory levels across all regional warehouses and e-commerce channels in real time, with updates propagated within 5 seconds of a stock-level change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Must</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Inventory Consistency</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FR-02</w:t>
            </w:r>
          </w:p>
        </w:tc>
        <w:tc>
          <w:tcPr>
            <w:tcW w:type="dxa" w:w="50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Checkout and product-browsing services must scale automatically in response to demand spikes, provisioning additional compute capacity without manual intervention</w:t>
            </w:r>
          </w:p>
        </w:tc>
        <w:tc>
          <w:tcPr>
            <w:tcW w:type="dxa" w:w="15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Must</w:t>
            </w:r>
          </w:p>
        </w:tc>
        <w:tc>
          <w:tcPr>
            <w:tcW w:type="dxa" w:w="1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Scalability</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FR-03</w:t>
            </w:r>
          </w:p>
        </w:tc>
        <w:tc>
          <w:tcPr>
            <w:tcW w:type="dxa" w:w="5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The platform must expose RESTful APIs to allow authorized third-party logistics, payment, and marketplace partners to integrate with order management and inventory systems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Must</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Integration</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FR-04</w:t>
            </w:r>
          </w:p>
        </w:tc>
        <w:tc>
          <w:tcPr>
            <w:tcW w:type="dxa" w:w="50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Orders placed in any region must be routable to the nearest available fulfilment centre, with automatic failover to an alternative centre if primary capacity is unavailable</w:t>
            </w:r>
          </w:p>
        </w:tc>
        <w:tc>
          <w:tcPr>
            <w:tcW w:type="dxa" w:w="15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Must</w:t>
            </w:r>
          </w:p>
        </w:tc>
        <w:tc>
          <w:tcPr>
            <w:tcW w:type="dxa" w:w="1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Order Routing</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FR-05</w:t>
            </w:r>
          </w:p>
        </w:tc>
        <w:tc>
          <w:tcPr>
            <w:tcW w:type="dxa" w:w="5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The platform must provide real-time product availability status on all customer-facing channels, reflecting warehouse and in-store stock levels within the same synchronization window</w:t>
            </w:r>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Should</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Availability Display</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FR-06</w:t>
            </w:r>
          </w:p>
        </w:tc>
        <w:tc>
          <w:tcPr>
            <w:tcW w:type="dxa" w:w="50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The system should support multi-currency and multi-language checkout flows, enabling the platform to onboard new regional markets without core code changes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Should</w:t>
            </w:r>
          </w:p>
        </w:tc>
        <w:tc>
          <w:tcPr>
            <w:tcW w:type="dxa" w:w="1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Localization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FR-07</w:t>
            </w:r>
          </w:p>
        </w:tc>
        <w:tc>
          <w:tcPr>
            <w:tcW w:type="dxa" w:w="5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An event-driven notification service could alert store and warehouse managers when stock levels fall below configurable thresholds for high-velocity SKUs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Could</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Alerting</w:t>
            </w:r>
          </w:p>
        </w:tc>
      </w:tr>
    </w:tbl>
    <w:p>
      <w:pPr>
        <w:spacing w:after="120"/>
      </w:pPr>
      <w:r>
        <w:t xml:space="preserve"/>
      </w:r>
    </w:p>
    <w:p>
      <w:pPr>
        <w:pStyle w:val="Heading1"/>
        <w:spacing w:after="160" w:before="360"/>
      </w:pPr>
      <w:r>
        <w:rPr>
          <w:rFonts w:ascii="Arial" w:cs="Arial" w:eastAsia="Arial" w:hAnsi="Arial"/>
          <w:b/>
          <w:bCs/>
          <w:color w:val="1F3864"/>
          <w:sz w:val="32"/>
          <w:szCs w:val="32"/>
        </w:rPr>
        <w:t xml:space="preserve">4.  Non-Functional Requirements</w:t>
      </w:r>
    </w:p>
    <w:p>
      <w:pPr>
        <w:spacing w:after="160"/>
      </w:pPr>
      <w:r>
        <w:rPr>
          <w:rFonts w:ascii="Arial" w:cs="Arial" w:eastAsia="Arial" w:hAnsi="Arial"/>
          <w:color w:val="333333"/>
          <w:sz w:val="22"/>
          <w:szCs w:val="22"/>
        </w:rPr>
        <w:t xml:space="preserve">Non-functional requirements define system qualities, operational constraints, and performance expectations. Each requirement includes a measurable target to enable objective validation during testing and acceptance. Priorities follow the same MoSCoW framework applied to functional requirements.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60"/>
        <w:gridCol w:w="2600"/>
        <w:gridCol w:w="1000"/>
        <w:gridCol w:w="900"/>
      </w:tblGrid>
      <w:tr>
        <w:trPr>
          <w:tblHeader/>
        </w:trPr>
        <w:tc>
          <w:tcPr>
            <w:tcW w:type="dxa" w:w="9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ID</w:t>
            </w:r>
          </w:p>
        </w:tc>
        <w:tc>
          <w:tcPr>
            <w:tcW w:type="dxa" w:w="396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Requirement Description</w:t>
            </w:r>
          </w:p>
        </w:tc>
        <w:tc>
          <w:tcPr>
            <w:tcW w:type="dxa" w:w="26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Measurable Target</w:t>
            </w:r>
          </w:p>
        </w:tc>
        <w:tc>
          <w:tcPr>
            <w:tcW w:type="dxa" w:w="10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Priority</w:t>
            </w:r>
          </w:p>
        </w:tc>
        <w:tc>
          <w:tcPr>
            <w:tcW w:type="dxa" w:w="900"/>
            <w:tcBorders>
              <w:top w:val="single" w:color="AAAAAA" w:sz="1"/>
              <w:left w:val="single" w:color="AAAAAA" w:sz="1"/>
              <w:bottom w:val="single" w:color="AAAAAA" w:sz="1"/>
              <w:right w:val="single" w:color="AAAAAA" w:sz="1"/>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Category</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NFR-01</w:t>
            </w:r>
          </w:p>
        </w:tc>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The platform must remain continuously available during peak seasonal trading events, including flash sales and holiday campaigns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99.95% uptime per calendar month (≤ 4.4 hrs downtime/month)</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Must</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Availability</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NFR-02</w:t>
            </w:r>
          </w:p>
        </w:tc>
        <w:tc>
          <w:tcPr>
            <w:tcW w:type="dxa" w:w="39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End-to-end checkout transaction latency, from cart submission to order confirmation, must meet defined thresholds to protect conversion rates</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500ms at p95 under peak load</w:t>
            </w:r>
          </w:p>
        </w:tc>
        <w:tc>
          <w:tcPr>
            <w:tcW w:type="dxa" w:w="1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Must</w:t>
            </w:r>
          </w:p>
        </w:tc>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Performance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NFR-03</w:t>
            </w:r>
          </w:p>
        </w:tc>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The platform must define and enforce recovery objectives to ensure that service disruptions can be detected and resolved within acceptable business impact windows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RTO ≤ 1 hour; RPO ≤ 15 minutes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Must</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Resilience</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NFR-04</w:t>
            </w:r>
          </w:p>
        </w:tc>
        <w:tc>
          <w:tcPr>
            <w:tcW w:type="dxa" w:w="39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All customer personal data, payment information, and order records must be encrypted both in transit and at rest using current industry-accepted standards</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TLS 1.3 in transit; AES-256 at rest</w:t>
            </w:r>
          </w:p>
        </w:tc>
        <w:tc>
          <w:tcPr>
            <w:tcW w:type="dxa" w:w="1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Must</w:t>
            </w:r>
          </w:p>
        </w:tc>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Security</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NFR-05</w:t>
            </w:r>
          </w:p>
        </w:tc>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Customer and transaction data must be stored and processed within the geographic boundary of the customer's originating region to satisfy applicable data residency regulations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Compliance with GDPR (EU), PDPA (APAC), and applicable regional frameworks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Must</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Compliance</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NFR-06</w:t>
            </w:r>
          </w:p>
        </w:tc>
        <w:tc>
          <w:tcPr>
            <w:tcW w:type="dxa" w:w="396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The platform architecture must support independent horizontal scaling of individual service components without requiring full-stack redeployment or scheduled downtime</w:t>
            </w:r>
          </w:p>
        </w:tc>
        <w:tc>
          <w:tcPr>
            <w:tcW w:type="dxa" w:w="26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Linear scaling to 10× baseline traffic with ≤ 10% latency degradation</w:t>
            </w:r>
          </w:p>
        </w:tc>
        <w:tc>
          <w:tcPr>
            <w:tcW w:type="dxa" w:w="10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Should</w:t>
            </w:r>
          </w:p>
        </w:tc>
        <w:tc>
          <w:tcPr>
            <w:tcW w:type="dxa" w:w="900"/>
            <w:tcBorders>
              <w:top w:val="single" w:color="AAAAAA" w:sz="1"/>
              <w:left w:val="single" w:color="AAAAAA" w:sz="1"/>
              <w:bottom w:val="single" w:color="AAAAAA" w:sz="1"/>
              <w:right w:val="single" w:color="AAAAAA"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Scalability</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NFR-07</w:t>
            </w:r>
          </w:p>
        </w:tc>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Comprehensive telemetry, including service health metrics, error rates, and latency distributions, should be observable through a centralized monitoring dashboard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100% of critical service paths instrumented; p99 latency visible in dashboard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Should</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Observability</w:t>
            </w:r>
          </w:p>
        </w:tc>
      </w:tr>
    </w:tbl>
    <w:p>
      <w:pPr>
        <w:spacing w:after="120"/>
      </w:pPr>
      <w:r>
        <w:t xml:space="preserve"/>
      </w:r>
    </w:p>
    <w:p>
      <w:pPr>
        <w:pStyle w:val="Heading1"/>
        <w:spacing w:after="160" w:before="360"/>
      </w:pPr>
      <w:r>
        <w:rPr>
          <w:rFonts w:ascii="Arial" w:cs="Arial" w:eastAsia="Arial" w:hAnsi="Arial"/>
          <w:b/>
          <w:bCs/>
          <w:color w:val="1F3864"/>
          <w:sz w:val="32"/>
          <w:szCs w:val="32"/>
        </w:rPr>
        <w:t xml:space="preserve">5.  Requirements Review Checklist</w:t>
      </w:r>
    </w:p>
    <w:p>
      <w:pPr>
        <w:spacing w:after="160"/>
      </w:pPr>
      <w:r>
        <w:rPr>
          <w:rFonts w:ascii="Arial" w:cs="Arial" w:eastAsia="Arial" w:hAnsi="Arial"/>
          <w:color w:val="333333"/>
          <w:sz w:val="22"/>
          <w:szCs w:val="22"/>
        </w:rPr>
        <w:t xml:space="preserve">The following criteria were applied when reviewing this document for quality and completeness:</w:t>
      </w:r>
    </w:p>
    <w:p>
      <w:pPr>
        <w:spacing w:after="120"/>
      </w:pPr>
      <w:r>
        <w:t xml:space="preserve"/>
      </w:r>
    </w:p>
    <w:p>
      <w:pPr>
        <w:spacing w:after="140"/>
      </w:pPr>
      <w:r>
        <w:rPr>
          <w:rFonts w:ascii="Arial" w:cs="Arial" w:eastAsia="Arial" w:hAnsi="Arial"/>
          <w:b/>
          <w:bCs/>
          <w:color w:val="1F3864"/>
          <w:sz w:val="22"/>
          <w:szCs w:val="22"/>
        </w:rPr>
        <w:t xml:space="preserve">✓  Clarity: </w:t>
      </w:r>
      <w:r>
        <w:rPr>
          <w:rFonts w:ascii="Arial" w:cs="Arial" w:eastAsia="Arial" w:hAnsi="Arial"/>
          <w:color w:val="333333"/>
          <w:sz w:val="22"/>
          <w:szCs w:val="22"/>
        </w:rPr>
        <w:t xml:space="preserve">Each requirement is written as a single, unambiguous statement that can be independently validated</w:t>
      </w:r>
    </w:p>
    <w:p>
      <w:pPr>
        <w:spacing w:after="140"/>
      </w:pPr>
      <w:r>
        <w:rPr>
          <w:rFonts w:ascii="Arial" w:cs="Arial" w:eastAsia="Arial" w:hAnsi="Arial"/>
          <w:b/>
          <w:bCs/>
          <w:color w:val="1F3864"/>
          <w:sz w:val="22"/>
          <w:szCs w:val="22"/>
        </w:rPr>
        <w:t xml:space="preserve">✓  Separation: </w:t>
      </w:r>
      <w:r>
        <w:rPr>
          <w:rFonts w:ascii="Arial" w:cs="Arial" w:eastAsia="Arial" w:hAnsi="Arial"/>
          <w:color w:val="333333"/>
          <w:sz w:val="22"/>
          <w:szCs w:val="22"/>
        </w:rPr>
        <w:t xml:space="preserve">Functional requirements describe system capabilities (what it does); non-functional requirements describe system qualities (how well it does it)</w:t>
      </w:r>
    </w:p>
    <w:p>
      <w:pPr>
        <w:spacing w:after="140"/>
      </w:pPr>
      <w:r>
        <w:rPr>
          <w:rFonts w:ascii="Arial" w:cs="Arial" w:eastAsia="Arial" w:hAnsi="Arial"/>
          <w:b/>
          <w:bCs/>
          <w:color w:val="1F3864"/>
          <w:sz w:val="22"/>
          <w:szCs w:val="22"/>
        </w:rPr>
        <w:t xml:space="preserve">✓  Priority Levels: </w:t>
      </w:r>
      <w:r>
        <w:rPr>
          <w:rFonts w:ascii="Arial" w:cs="Arial" w:eastAsia="Arial" w:hAnsi="Arial"/>
          <w:color w:val="333333"/>
          <w:sz w:val="22"/>
          <w:szCs w:val="22"/>
        </w:rPr>
        <w:t xml:space="preserve">Every requirement includes a MoSCoW priority to support scope management and trade-off decisions</w:t>
      </w:r>
    </w:p>
    <w:p>
      <w:pPr>
        <w:spacing w:after="140"/>
      </w:pPr>
      <w:r>
        <w:rPr>
          <w:rFonts w:ascii="Arial" w:cs="Arial" w:eastAsia="Arial" w:hAnsi="Arial"/>
          <w:b/>
          <w:bCs/>
          <w:color w:val="1F3864"/>
          <w:sz w:val="22"/>
          <w:szCs w:val="22"/>
        </w:rPr>
        <w:t xml:space="preserve">✓  Measurable Targets: </w:t>
      </w:r>
      <w:r>
        <w:rPr>
          <w:rFonts w:ascii="Arial" w:cs="Arial" w:eastAsia="Arial" w:hAnsi="Arial"/>
          <w:color w:val="333333"/>
          <w:sz w:val="22"/>
          <w:szCs w:val="22"/>
        </w:rPr>
        <w:t xml:space="preserve">All non-functional requirements include a quantified, testable target (e.g., latency thresholds, uptime percentages, recovery objectives)</w:t>
      </w:r>
    </w:p>
    <w:p>
      <w:pPr>
        <w:spacing w:after="140"/>
      </w:pPr>
      <w:r>
        <w:rPr>
          <w:rFonts w:ascii="Arial" w:cs="Arial" w:eastAsia="Arial" w:hAnsi="Arial"/>
          <w:b/>
          <w:bCs/>
          <w:color w:val="1F3864"/>
          <w:sz w:val="22"/>
          <w:szCs w:val="22"/>
        </w:rPr>
        <w:t xml:space="preserve">✓  Stakeholder Coverage: </w:t>
      </w:r>
      <w:r>
        <w:rPr>
          <w:rFonts w:ascii="Arial" w:cs="Arial" w:eastAsia="Arial" w:hAnsi="Arial"/>
          <w:color w:val="333333"/>
          <w:sz w:val="22"/>
          <w:szCs w:val="22"/>
        </w:rPr>
        <w:t xml:space="preserve">Each functional and non-functional requirement traces back to at least one identified stakeholder concern or business objective</w:t>
      </w:r>
    </w:p>
    <w:p>
      <w:pPr>
        <w:spacing w:after="120"/>
      </w:pPr>
      <w:r>
        <w:t xml:space="preserv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20"/>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666666"/>
        <w:sz w:val="18"/>
        <w:szCs w:val="18"/>
      </w:rPr>
      <w:t xml:space="preserve">Stakeholder and Requirements Document  |  Global Retail Platform Hybrid Cloud Modernization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2026-03-30T21:54:17.887Z</dcterms:created>
  <dcterms:modified xsi:type="dcterms:W3CDTF">2026-03-30T21:54:17.887Z</dcterms:modified>
</cp:coreProperties>
</file>

<file path=docProps/custom.xml><?xml version="1.0" encoding="utf-8"?>
<Properties xmlns="http://schemas.openxmlformats.org/officeDocument/2006/custom-properties" xmlns:vt="http://schemas.openxmlformats.org/officeDocument/2006/docPropsVTypes"/>
</file>