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32A78" w14:textId="3084648A" w:rsidR="006C34A5" w:rsidRDefault="008059CD">
      <w:pPr>
        <w:rPr>
          <w:sz w:val="24"/>
          <w:szCs w:val="24"/>
        </w:rPr>
      </w:pPr>
      <w:r>
        <w:rPr>
          <w:sz w:val="24"/>
          <w:szCs w:val="24"/>
        </w:rPr>
        <w:t xml:space="preserve">Lab </w:t>
      </w:r>
      <w:r w:rsidR="006C34A5" w:rsidRPr="006C34A5">
        <w:rPr>
          <w:sz w:val="24"/>
          <w:szCs w:val="24"/>
        </w:rPr>
        <w:t xml:space="preserve">Five Forces </w:t>
      </w:r>
      <w:r>
        <w:rPr>
          <w:sz w:val="24"/>
          <w:szCs w:val="24"/>
        </w:rPr>
        <w:t xml:space="preserve">Analysis and </w:t>
      </w:r>
      <w:r w:rsidR="00BF7632">
        <w:rPr>
          <w:sz w:val="24"/>
          <w:szCs w:val="24"/>
        </w:rPr>
        <w:t>Strategy Worksheet</w:t>
      </w:r>
    </w:p>
    <w:p w14:paraId="426863CA" w14:textId="0CA43DFF" w:rsidR="001921DE" w:rsidRDefault="00BF7632" w:rsidP="006621BF">
      <w:pPr>
        <w:rPr>
          <w:rFonts w:ascii="Calibri" w:hAnsi="Calibri" w:cs="Calibri"/>
          <w:sz w:val="24"/>
          <w:szCs w:val="24"/>
        </w:rPr>
      </w:pPr>
      <w:r w:rsidRPr="0023429F">
        <w:rPr>
          <w:rFonts w:ascii="Calibri" w:hAnsi="Calibri" w:cs="Calibri"/>
          <w:sz w:val="24"/>
          <w:szCs w:val="24"/>
        </w:rPr>
        <w:t xml:space="preserve">Part I: Analyze the scenario. How will the Porter Five Forces </w:t>
      </w:r>
      <w:r w:rsidR="0023429F" w:rsidRPr="0023429F">
        <w:rPr>
          <w:rFonts w:ascii="Calibri" w:hAnsi="Calibri" w:cs="Calibri"/>
          <w:sz w:val="24"/>
          <w:szCs w:val="24"/>
        </w:rPr>
        <w:t>impact the development and launch of the new solar heater system?</w:t>
      </w:r>
    </w:p>
    <w:p w14:paraId="2BE5FA1C" w14:textId="18B7AFFE" w:rsidR="0023429F" w:rsidRDefault="009373BE" w:rsidP="006621BF">
      <w:pPr>
        <w:rPr>
          <w:rFonts w:ascii="Calibri" w:hAnsi="Calibri" w:cs="Calibri"/>
          <w:sz w:val="24"/>
          <w:szCs w:val="24"/>
        </w:rPr>
      </w:pPr>
      <w:r>
        <w:rPr>
          <w:rFonts w:ascii="Calibri" w:hAnsi="Calibri" w:cs="Calibri"/>
          <w:sz w:val="24"/>
          <w:szCs w:val="24"/>
        </w:rPr>
        <w:t xml:space="preserve">Considerations may include positive forces that will support the firm, negative forces they need to overcome, or a combination. </w:t>
      </w:r>
    </w:p>
    <w:p w14:paraId="3D42AD94" w14:textId="09D93665" w:rsidR="003B7A19" w:rsidRPr="0023429F" w:rsidRDefault="003B7A19" w:rsidP="006621BF">
      <w:pPr>
        <w:rPr>
          <w:rFonts w:ascii="Calibri" w:hAnsi="Calibri" w:cs="Calibri"/>
          <w:sz w:val="24"/>
          <w:szCs w:val="24"/>
        </w:rPr>
      </w:pPr>
      <w:r>
        <w:rPr>
          <w:rFonts w:ascii="Calibri" w:hAnsi="Calibri" w:cs="Calibri"/>
          <w:sz w:val="24"/>
          <w:szCs w:val="24"/>
        </w:rPr>
        <w:t xml:space="preserve">Note:  </w:t>
      </w:r>
      <w:r w:rsidR="00132180">
        <w:rPr>
          <w:rFonts w:ascii="Calibri" w:hAnsi="Calibri" w:cs="Calibri"/>
          <w:sz w:val="24"/>
          <w:szCs w:val="24"/>
        </w:rPr>
        <w:t>R</w:t>
      </w:r>
      <w:r>
        <w:rPr>
          <w:rFonts w:ascii="Calibri" w:hAnsi="Calibri" w:cs="Calibri"/>
          <w:sz w:val="24"/>
          <w:szCs w:val="24"/>
        </w:rPr>
        <w:t xml:space="preserve">efer to the </w:t>
      </w:r>
      <w:r w:rsidR="00411F7B">
        <w:rPr>
          <w:rFonts w:ascii="Calibri" w:hAnsi="Calibri" w:cs="Calibri"/>
          <w:sz w:val="24"/>
          <w:szCs w:val="24"/>
        </w:rPr>
        <w:t>Five Forces Screencast video for additional clarification on the Five Forces Model.</w:t>
      </w:r>
    </w:p>
    <w:tbl>
      <w:tblPr>
        <w:tblStyle w:val="TableGrid"/>
        <w:tblW w:w="0" w:type="auto"/>
        <w:tblLook w:val="04A0" w:firstRow="1" w:lastRow="0" w:firstColumn="1" w:lastColumn="0" w:noHBand="0" w:noVBand="1"/>
      </w:tblPr>
      <w:tblGrid>
        <w:gridCol w:w="3775"/>
        <w:gridCol w:w="5575"/>
      </w:tblGrid>
      <w:tr w:rsidR="00903ABB" w14:paraId="73D81337" w14:textId="77777777" w:rsidTr="00F626EE">
        <w:tc>
          <w:tcPr>
            <w:tcW w:w="3775" w:type="dxa"/>
            <w:shd w:val="clear" w:color="auto" w:fill="DEEAF6" w:themeFill="accent5" w:themeFillTint="33"/>
          </w:tcPr>
          <w:p w14:paraId="65BA1D1F" w14:textId="7749FB65" w:rsidR="00903ABB" w:rsidRDefault="00903ABB" w:rsidP="00F626EE">
            <w:pPr>
              <w:jc w:val="center"/>
              <w:rPr>
                <w:rFonts w:ascii="Calibri" w:hAnsi="Calibri" w:cs="Calibri"/>
                <w:sz w:val="24"/>
                <w:szCs w:val="24"/>
              </w:rPr>
            </w:pPr>
            <w:r>
              <w:rPr>
                <w:rFonts w:ascii="Calibri" w:hAnsi="Calibri" w:cs="Calibri"/>
                <w:sz w:val="24"/>
                <w:szCs w:val="24"/>
              </w:rPr>
              <w:t>Force</w:t>
            </w:r>
          </w:p>
        </w:tc>
        <w:tc>
          <w:tcPr>
            <w:tcW w:w="5575" w:type="dxa"/>
            <w:shd w:val="clear" w:color="auto" w:fill="DEEAF6" w:themeFill="accent5" w:themeFillTint="33"/>
          </w:tcPr>
          <w:p w14:paraId="2FFC0EFF" w14:textId="29FA6698" w:rsidR="00903ABB" w:rsidRDefault="0023429F" w:rsidP="00F626EE">
            <w:pPr>
              <w:jc w:val="center"/>
              <w:rPr>
                <w:rFonts w:ascii="Calibri" w:hAnsi="Calibri" w:cs="Calibri"/>
                <w:sz w:val="24"/>
                <w:szCs w:val="24"/>
              </w:rPr>
            </w:pPr>
            <w:r>
              <w:rPr>
                <w:rFonts w:ascii="Calibri" w:hAnsi="Calibri" w:cs="Calibri"/>
                <w:sz w:val="24"/>
                <w:szCs w:val="24"/>
              </w:rPr>
              <w:t>Considerations</w:t>
            </w:r>
          </w:p>
        </w:tc>
      </w:tr>
      <w:tr w:rsidR="00F626EE" w14:paraId="1669A7BF" w14:textId="77777777" w:rsidTr="00F626EE">
        <w:tc>
          <w:tcPr>
            <w:tcW w:w="3775" w:type="dxa"/>
          </w:tcPr>
          <w:p w14:paraId="4366293B" w14:textId="24E4581A" w:rsidR="00F626EE" w:rsidRDefault="00F626EE" w:rsidP="00F626EE">
            <w:pPr>
              <w:rPr>
                <w:rFonts w:ascii="Calibri" w:hAnsi="Calibri" w:cs="Calibri"/>
                <w:sz w:val="24"/>
                <w:szCs w:val="24"/>
              </w:rPr>
            </w:pPr>
            <w:r w:rsidRPr="00E46639">
              <w:rPr>
                <w:rFonts w:ascii="Calibri" w:hAnsi="Calibri" w:cs="Calibri"/>
                <w:sz w:val="24"/>
                <w:szCs w:val="24"/>
              </w:rPr>
              <w:t>Entry</w:t>
            </w:r>
          </w:p>
        </w:tc>
        <w:tc>
          <w:tcPr>
            <w:tcW w:w="5575" w:type="dxa"/>
          </w:tcPr>
          <w:p w14:paraId="54C0FE71" w14:textId="217074A2" w:rsidR="00910AB9" w:rsidRPr="00910AB9" w:rsidRDefault="00910AB9" w:rsidP="00910AB9">
            <w:pPr>
              <w:rPr>
                <w:rFonts w:ascii="Calibri" w:hAnsi="Calibri" w:cs="Calibri"/>
                <w:sz w:val="24"/>
                <w:szCs w:val="24"/>
              </w:rPr>
            </w:pPr>
            <w:r w:rsidRPr="00910AB9">
              <w:rPr>
                <w:rFonts w:ascii="Calibri" w:hAnsi="Calibri" w:cs="Calibri"/>
                <w:sz w:val="24"/>
                <w:szCs w:val="24"/>
              </w:rPr>
              <w:t xml:space="preserve">    High Barrier to Entry: Establishing a new solar heating company is expensive, requiring significant initial investment in infrastructure, technology, and market development. This acts as a deterrent for potential new entrants.</w:t>
            </w:r>
          </w:p>
          <w:p w14:paraId="0AEE1B2E" w14:textId="77777777" w:rsidR="00910AB9" w:rsidRPr="00910AB9" w:rsidRDefault="00910AB9" w:rsidP="00910AB9">
            <w:pPr>
              <w:rPr>
                <w:rFonts w:ascii="Calibri" w:hAnsi="Calibri" w:cs="Calibri"/>
                <w:sz w:val="24"/>
                <w:szCs w:val="24"/>
              </w:rPr>
            </w:pPr>
            <w:r w:rsidRPr="00910AB9">
              <w:rPr>
                <w:rFonts w:ascii="Calibri" w:hAnsi="Calibri" w:cs="Calibri"/>
                <w:sz w:val="24"/>
                <w:szCs w:val="24"/>
              </w:rPr>
              <w:t xml:space="preserve">    Established Brand Presence: SRU LLC is an established player in the market, which gives them a competitive advantage over new entrants who would need to invest time and resources to build brand recognition and trust among customers.</w:t>
            </w:r>
          </w:p>
          <w:p w14:paraId="414886D6" w14:textId="6B957D4A" w:rsidR="00F626EE" w:rsidRDefault="00910AB9" w:rsidP="00910AB9">
            <w:pPr>
              <w:rPr>
                <w:rFonts w:ascii="Calibri" w:hAnsi="Calibri" w:cs="Calibri"/>
                <w:sz w:val="24"/>
                <w:szCs w:val="24"/>
              </w:rPr>
            </w:pPr>
            <w:r w:rsidRPr="00910AB9">
              <w:rPr>
                <w:rFonts w:ascii="Calibri" w:hAnsi="Calibri" w:cs="Calibri"/>
                <w:sz w:val="24"/>
                <w:szCs w:val="24"/>
              </w:rPr>
              <w:t xml:space="preserve">    Economies of Scale: Existing companies like SRU have already achieved economies of scale in production, distribution, and marketing, making it challenging for new entrants to compete on cost and efficiency.</w:t>
            </w:r>
          </w:p>
        </w:tc>
      </w:tr>
      <w:tr w:rsidR="00F626EE" w14:paraId="475FD9FC" w14:textId="77777777" w:rsidTr="00F626EE">
        <w:tc>
          <w:tcPr>
            <w:tcW w:w="3775" w:type="dxa"/>
          </w:tcPr>
          <w:p w14:paraId="6E55025B" w14:textId="6714A0F4" w:rsidR="00F626EE" w:rsidRDefault="00F626EE" w:rsidP="00F626EE">
            <w:pPr>
              <w:rPr>
                <w:rFonts w:ascii="Calibri" w:hAnsi="Calibri" w:cs="Calibri"/>
                <w:sz w:val="24"/>
                <w:szCs w:val="24"/>
              </w:rPr>
            </w:pPr>
            <w:r w:rsidRPr="00E46639">
              <w:rPr>
                <w:rFonts w:ascii="Calibri" w:hAnsi="Calibri" w:cs="Calibri"/>
                <w:sz w:val="24"/>
                <w:szCs w:val="24"/>
              </w:rPr>
              <w:t>Threat of Substitution</w:t>
            </w:r>
          </w:p>
        </w:tc>
        <w:tc>
          <w:tcPr>
            <w:tcW w:w="5575" w:type="dxa"/>
          </w:tcPr>
          <w:p w14:paraId="632294D1" w14:textId="77777777" w:rsidR="007F63E4" w:rsidRPr="007F63E4" w:rsidRDefault="007F63E4" w:rsidP="007F63E4">
            <w:pPr>
              <w:rPr>
                <w:rFonts w:ascii="Calibri" w:hAnsi="Calibri" w:cs="Calibri"/>
                <w:sz w:val="24"/>
                <w:szCs w:val="24"/>
              </w:rPr>
            </w:pPr>
            <w:r w:rsidRPr="007F63E4">
              <w:rPr>
                <w:rFonts w:ascii="Calibri" w:hAnsi="Calibri" w:cs="Calibri"/>
                <w:sz w:val="24"/>
                <w:szCs w:val="24"/>
              </w:rPr>
              <w:t xml:space="preserve">    Availability of Alternatives: The solar water heating market faces the threat of substitution from alternative energy sources such as electric or gas-powered water heaters. SRU needs to differentiate its product by emphasizing the unique benefits of solar heating, such as cost savings, environmental friendliness, and government incentives.</w:t>
            </w:r>
          </w:p>
          <w:p w14:paraId="4E485132" w14:textId="40B40BF0" w:rsidR="00F626EE" w:rsidRDefault="007F63E4" w:rsidP="007F63E4">
            <w:pPr>
              <w:rPr>
                <w:rFonts w:ascii="Calibri" w:hAnsi="Calibri" w:cs="Calibri"/>
                <w:sz w:val="24"/>
                <w:szCs w:val="24"/>
              </w:rPr>
            </w:pPr>
            <w:r w:rsidRPr="007F63E4">
              <w:rPr>
                <w:rFonts w:ascii="Calibri" w:hAnsi="Calibri" w:cs="Calibri"/>
                <w:sz w:val="24"/>
                <w:szCs w:val="24"/>
              </w:rPr>
              <w:t xml:space="preserve">    Technological Advancements: Advances in technology may lead to the development of new heating solutions that could potentially substitute solar water heaters. SRU must stay innovative and continuously improve its product to stay ahead of emerging alternatives.</w:t>
            </w:r>
          </w:p>
        </w:tc>
      </w:tr>
      <w:tr w:rsidR="00F626EE" w14:paraId="143F9566" w14:textId="77777777" w:rsidTr="00F626EE">
        <w:tc>
          <w:tcPr>
            <w:tcW w:w="3775" w:type="dxa"/>
          </w:tcPr>
          <w:p w14:paraId="433A64D3" w14:textId="1D6FA3BC" w:rsidR="00F626EE" w:rsidRDefault="00F626EE" w:rsidP="00F626EE">
            <w:pPr>
              <w:rPr>
                <w:rFonts w:ascii="Calibri" w:hAnsi="Calibri" w:cs="Calibri"/>
                <w:sz w:val="24"/>
                <w:szCs w:val="24"/>
              </w:rPr>
            </w:pPr>
            <w:r w:rsidRPr="00E46639">
              <w:rPr>
                <w:rFonts w:ascii="Calibri" w:hAnsi="Calibri" w:cs="Calibri"/>
                <w:sz w:val="24"/>
                <w:szCs w:val="24"/>
              </w:rPr>
              <w:t>Bargaining Power of Buyers</w:t>
            </w:r>
          </w:p>
        </w:tc>
        <w:tc>
          <w:tcPr>
            <w:tcW w:w="5575" w:type="dxa"/>
          </w:tcPr>
          <w:p w14:paraId="1ADFC516" w14:textId="77777777" w:rsidR="001979DC" w:rsidRPr="001979DC" w:rsidRDefault="001979DC" w:rsidP="001979DC">
            <w:pPr>
              <w:rPr>
                <w:rFonts w:ascii="Calibri" w:hAnsi="Calibri" w:cs="Calibri"/>
                <w:sz w:val="24"/>
                <w:szCs w:val="24"/>
              </w:rPr>
            </w:pPr>
            <w:r w:rsidRPr="001979DC">
              <w:rPr>
                <w:rFonts w:ascii="Calibri" w:hAnsi="Calibri" w:cs="Calibri"/>
                <w:sz w:val="24"/>
                <w:szCs w:val="24"/>
              </w:rPr>
              <w:t xml:space="preserve">    Increasing Demand: The growing demand for energy-efficient and environmentally friendly heating solutions gives buyers more options and bargaining power. SRU needs to ensure that its product offering </w:t>
            </w:r>
            <w:r w:rsidRPr="001979DC">
              <w:rPr>
                <w:rFonts w:ascii="Calibri" w:hAnsi="Calibri" w:cs="Calibri"/>
                <w:sz w:val="24"/>
                <w:szCs w:val="24"/>
              </w:rPr>
              <w:lastRenderedPageBreak/>
              <w:t>meets the diverse needs and preferences of buyers to maintain competitiveness.</w:t>
            </w:r>
          </w:p>
          <w:p w14:paraId="1598926B" w14:textId="77777777" w:rsidR="001979DC" w:rsidRPr="001979DC" w:rsidRDefault="001979DC" w:rsidP="001979DC">
            <w:pPr>
              <w:rPr>
                <w:rFonts w:ascii="Calibri" w:hAnsi="Calibri" w:cs="Calibri"/>
                <w:sz w:val="24"/>
                <w:szCs w:val="24"/>
              </w:rPr>
            </w:pPr>
            <w:r w:rsidRPr="001979DC">
              <w:rPr>
                <w:rFonts w:ascii="Calibri" w:hAnsi="Calibri" w:cs="Calibri"/>
                <w:sz w:val="24"/>
                <w:szCs w:val="24"/>
              </w:rPr>
              <w:t xml:space="preserve">    Price Sensitivity: Buyers may be price-sensitive due to the high initial investment required for solar water heating systems. SRU should offer competitive pricing and explore financing options or incentives to make the product more accessible to a wider range of buyers.</w:t>
            </w:r>
          </w:p>
          <w:p w14:paraId="323AC90C" w14:textId="1935D9E8" w:rsidR="00F626EE" w:rsidRDefault="001979DC" w:rsidP="001979DC">
            <w:pPr>
              <w:rPr>
                <w:rFonts w:ascii="Calibri" w:hAnsi="Calibri" w:cs="Calibri"/>
                <w:sz w:val="24"/>
                <w:szCs w:val="24"/>
              </w:rPr>
            </w:pPr>
            <w:r w:rsidRPr="001979DC">
              <w:rPr>
                <w:rFonts w:ascii="Calibri" w:hAnsi="Calibri" w:cs="Calibri"/>
                <w:sz w:val="24"/>
                <w:szCs w:val="24"/>
              </w:rPr>
              <w:t xml:space="preserve">    Quality and Service Expectations: Buyers expect high-quality products and reliable customer service. SRU must prioritize product quality, performance, and after-sales support to build customer loyalty and mitigate the bargaining power of buyers.</w:t>
            </w:r>
          </w:p>
        </w:tc>
      </w:tr>
      <w:tr w:rsidR="00F626EE" w14:paraId="38754098" w14:textId="77777777" w:rsidTr="00F626EE">
        <w:tc>
          <w:tcPr>
            <w:tcW w:w="3775" w:type="dxa"/>
          </w:tcPr>
          <w:p w14:paraId="66531AD5" w14:textId="5EE916C5" w:rsidR="00F626EE" w:rsidRDefault="00F626EE" w:rsidP="00F626EE">
            <w:pPr>
              <w:rPr>
                <w:rFonts w:ascii="Calibri" w:hAnsi="Calibri" w:cs="Calibri"/>
                <w:sz w:val="24"/>
                <w:szCs w:val="24"/>
              </w:rPr>
            </w:pPr>
            <w:r w:rsidRPr="00E46639">
              <w:rPr>
                <w:rFonts w:ascii="Calibri" w:hAnsi="Calibri" w:cs="Calibri"/>
                <w:sz w:val="24"/>
                <w:szCs w:val="24"/>
              </w:rPr>
              <w:lastRenderedPageBreak/>
              <w:t>Bargaining Power of Suppliers</w:t>
            </w:r>
          </w:p>
        </w:tc>
        <w:tc>
          <w:tcPr>
            <w:tcW w:w="5575" w:type="dxa"/>
          </w:tcPr>
          <w:p w14:paraId="6B59E65B" w14:textId="77777777" w:rsidR="001979DC" w:rsidRPr="001979DC" w:rsidRDefault="001979DC" w:rsidP="001979DC">
            <w:pPr>
              <w:rPr>
                <w:rFonts w:ascii="Calibri" w:hAnsi="Calibri" w:cs="Calibri"/>
                <w:sz w:val="24"/>
                <w:szCs w:val="24"/>
              </w:rPr>
            </w:pPr>
            <w:r w:rsidRPr="001979DC">
              <w:rPr>
                <w:rFonts w:ascii="Calibri" w:hAnsi="Calibri" w:cs="Calibri"/>
                <w:sz w:val="24"/>
                <w:szCs w:val="24"/>
              </w:rPr>
              <w:t xml:space="preserve">    Limited Suppliers: The solar water heating industry relies on a limited number of suppliers for components such as solar collector panels, storage tanks, and copper tubing. This gives suppliers some bargaining power over manufacturers like SRU.</w:t>
            </w:r>
          </w:p>
          <w:p w14:paraId="1D3940BC" w14:textId="72E7110A" w:rsidR="00F626EE" w:rsidRDefault="001979DC" w:rsidP="001979DC">
            <w:pPr>
              <w:rPr>
                <w:rFonts w:ascii="Calibri" w:hAnsi="Calibri" w:cs="Calibri"/>
                <w:sz w:val="24"/>
                <w:szCs w:val="24"/>
              </w:rPr>
            </w:pPr>
            <w:r w:rsidRPr="001979DC">
              <w:rPr>
                <w:rFonts w:ascii="Calibri" w:hAnsi="Calibri" w:cs="Calibri"/>
                <w:sz w:val="24"/>
                <w:szCs w:val="24"/>
              </w:rPr>
              <w:t xml:space="preserve">    Supply Chain Disruptions: Any disruptions in the supply chain, such as raw material shortages or transportation delays, could increase supplier power and affect production timelines and costs. SRU needs to establish strong relationships with suppliers and diversify its supply chain to minimize risks.</w:t>
            </w:r>
          </w:p>
        </w:tc>
      </w:tr>
      <w:tr w:rsidR="00F626EE" w14:paraId="0E0CC348" w14:textId="77777777" w:rsidTr="00F626EE">
        <w:tc>
          <w:tcPr>
            <w:tcW w:w="3775" w:type="dxa"/>
          </w:tcPr>
          <w:p w14:paraId="053BC7F6" w14:textId="2F1B7B9A" w:rsidR="00F626EE" w:rsidRDefault="00F626EE" w:rsidP="00F626EE">
            <w:pPr>
              <w:rPr>
                <w:rFonts w:ascii="Calibri" w:hAnsi="Calibri" w:cs="Calibri"/>
                <w:sz w:val="24"/>
                <w:szCs w:val="24"/>
              </w:rPr>
            </w:pPr>
            <w:r w:rsidRPr="00E46639">
              <w:rPr>
                <w:rFonts w:ascii="Calibri" w:hAnsi="Calibri" w:cs="Calibri"/>
                <w:sz w:val="24"/>
                <w:szCs w:val="24"/>
              </w:rPr>
              <w:t>Rivalry Among Current Competitors</w:t>
            </w:r>
          </w:p>
        </w:tc>
        <w:tc>
          <w:tcPr>
            <w:tcW w:w="5575" w:type="dxa"/>
          </w:tcPr>
          <w:p w14:paraId="32BE1303" w14:textId="77777777" w:rsidR="003C3532" w:rsidRPr="003C3532" w:rsidRDefault="003C3532" w:rsidP="003C3532">
            <w:pPr>
              <w:rPr>
                <w:rFonts w:ascii="Calibri" w:hAnsi="Calibri" w:cs="Calibri"/>
                <w:sz w:val="24"/>
                <w:szCs w:val="24"/>
              </w:rPr>
            </w:pPr>
            <w:r w:rsidRPr="003C3532">
              <w:rPr>
                <w:rFonts w:ascii="Calibri" w:hAnsi="Calibri" w:cs="Calibri"/>
                <w:sz w:val="24"/>
                <w:szCs w:val="24"/>
              </w:rPr>
              <w:t xml:space="preserve">    High Competition: The solar water heating market is highly competitive, with several established players like General Electric, Rheem Manufacturing, and others. Rival companies are constantly innovating and competing for market share, which could lead to price wars and margin pressures for SRU.</w:t>
            </w:r>
          </w:p>
          <w:p w14:paraId="6172D972" w14:textId="40EC18A8" w:rsidR="00F626EE" w:rsidRDefault="003C3532" w:rsidP="003C3532">
            <w:pPr>
              <w:rPr>
                <w:rFonts w:ascii="Calibri" w:hAnsi="Calibri" w:cs="Calibri"/>
                <w:sz w:val="24"/>
                <w:szCs w:val="24"/>
              </w:rPr>
            </w:pPr>
            <w:r w:rsidRPr="003C3532">
              <w:rPr>
                <w:rFonts w:ascii="Calibri" w:hAnsi="Calibri" w:cs="Calibri"/>
                <w:sz w:val="24"/>
                <w:szCs w:val="24"/>
              </w:rPr>
              <w:t xml:space="preserve">    Product Differentiation: SRU aims to differentiate its product based on advanced features, technology, and environmental benefits. However, competitors may quickly imitate or surpass these features, intensifying rivalry. SRU must continuously innovate and invest in research and development to stay ahead of competitors.</w:t>
            </w:r>
          </w:p>
        </w:tc>
      </w:tr>
    </w:tbl>
    <w:p w14:paraId="0C8D269D" w14:textId="77777777" w:rsidR="00903ABB" w:rsidRDefault="00903ABB" w:rsidP="006621BF">
      <w:pPr>
        <w:rPr>
          <w:rFonts w:ascii="Calibri" w:hAnsi="Calibri" w:cs="Calibri"/>
          <w:sz w:val="24"/>
          <w:szCs w:val="24"/>
        </w:rPr>
      </w:pPr>
    </w:p>
    <w:p w14:paraId="5A1A9953" w14:textId="77777777" w:rsidR="00810DED" w:rsidRDefault="00810DED" w:rsidP="006621BF">
      <w:pPr>
        <w:rPr>
          <w:rFonts w:ascii="Calibri" w:hAnsi="Calibri" w:cs="Calibri"/>
          <w:sz w:val="24"/>
          <w:szCs w:val="24"/>
        </w:rPr>
      </w:pPr>
    </w:p>
    <w:p w14:paraId="2040912A" w14:textId="77777777" w:rsidR="00810DED" w:rsidRDefault="00810DED" w:rsidP="006621BF">
      <w:pPr>
        <w:rPr>
          <w:rFonts w:ascii="Calibri" w:hAnsi="Calibri" w:cs="Calibri"/>
          <w:sz w:val="24"/>
          <w:szCs w:val="24"/>
        </w:rPr>
      </w:pPr>
    </w:p>
    <w:p w14:paraId="175D112C" w14:textId="77777777" w:rsidR="00810DED" w:rsidRDefault="00810DED" w:rsidP="006621BF">
      <w:pPr>
        <w:rPr>
          <w:rFonts w:ascii="Calibri" w:hAnsi="Calibri" w:cs="Calibri"/>
          <w:sz w:val="24"/>
          <w:szCs w:val="24"/>
        </w:rPr>
      </w:pPr>
    </w:p>
    <w:p w14:paraId="29A4D492" w14:textId="42321BB0" w:rsidR="00F626EE" w:rsidRDefault="00BF0165" w:rsidP="006621BF">
      <w:pPr>
        <w:rPr>
          <w:rFonts w:ascii="Calibri" w:hAnsi="Calibri" w:cs="Calibri"/>
          <w:sz w:val="24"/>
          <w:szCs w:val="24"/>
        </w:rPr>
      </w:pPr>
      <w:r w:rsidRPr="00BF0165">
        <w:rPr>
          <w:rFonts w:ascii="Calibri" w:hAnsi="Calibri" w:cs="Calibri"/>
          <w:sz w:val="24"/>
          <w:szCs w:val="24"/>
        </w:rPr>
        <w:lastRenderedPageBreak/>
        <w:t>Part II:  Strategy Options</w:t>
      </w:r>
    </w:p>
    <w:p w14:paraId="7F319634" w14:textId="27B03786" w:rsidR="00BF0165" w:rsidRPr="00BF0165" w:rsidRDefault="00BF0165" w:rsidP="006621BF">
      <w:pPr>
        <w:rPr>
          <w:rFonts w:ascii="Calibri" w:hAnsi="Calibri" w:cs="Calibri"/>
          <w:sz w:val="24"/>
          <w:szCs w:val="24"/>
        </w:rPr>
      </w:pPr>
      <w:r>
        <w:rPr>
          <w:rFonts w:ascii="Calibri" w:hAnsi="Calibri" w:cs="Calibri"/>
          <w:sz w:val="24"/>
          <w:szCs w:val="24"/>
        </w:rPr>
        <w:t>Porter Recommends three potential strategies</w:t>
      </w:r>
      <w:r w:rsidR="00585AE8">
        <w:rPr>
          <w:rFonts w:ascii="Calibri" w:hAnsi="Calibri" w:cs="Calibri"/>
          <w:sz w:val="24"/>
          <w:szCs w:val="24"/>
        </w:rPr>
        <w:t xml:space="preserve"> to deal with the Five Forces. Review each strategy and justify how this is an option, or should not be considered by the firm</w:t>
      </w:r>
    </w:p>
    <w:tbl>
      <w:tblPr>
        <w:tblStyle w:val="TableGrid"/>
        <w:tblW w:w="0" w:type="auto"/>
        <w:tblLook w:val="04A0" w:firstRow="1" w:lastRow="0" w:firstColumn="1" w:lastColumn="0" w:noHBand="0" w:noVBand="1"/>
      </w:tblPr>
      <w:tblGrid>
        <w:gridCol w:w="4675"/>
        <w:gridCol w:w="4675"/>
      </w:tblGrid>
      <w:tr w:rsidR="00F626EE" w14:paraId="37805B26" w14:textId="77777777" w:rsidTr="00F626EE">
        <w:tc>
          <w:tcPr>
            <w:tcW w:w="4675" w:type="dxa"/>
            <w:shd w:val="clear" w:color="auto" w:fill="DEEAF6" w:themeFill="accent5" w:themeFillTint="33"/>
          </w:tcPr>
          <w:p w14:paraId="5D31F301" w14:textId="172572AD" w:rsidR="00F626EE" w:rsidRDefault="00585AE8" w:rsidP="00F626EE">
            <w:pPr>
              <w:jc w:val="center"/>
              <w:rPr>
                <w:rFonts w:ascii="Calibri" w:hAnsi="Calibri" w:cs="Calibri"/>
                <w:sz w:val="24"/>
                <w:szCs w:val="24"/>
              </w:rPr>
            </w:pPr>
            <w:r>
              <w:rPr>
                <w:rFonts w:ascii="Calibri" w:hAnsi="Calibri" w:cs="Calibri"/>
                <w:sz w:val="24"/>
                <w:szCs w:val="24"/>
              </w:rPr>
              <w:t>Option</w:t>
            </w:r>
          </w:p>
        </w:tc>
        <w:tc>
          <w:tcPr>
            <w:tcW w:w="4675" w:type="dxa"/>
            <w:shd w:val="clear" w:color="auto" w:fill="DEEAF6" w:themeFill="accent5" w:themeFillTint="33"/>
          </w:tcPr>
          <w:p w14:paraId="60444E65" w14:textId="2F5154C2" w:rsidR="00F626EE" w:rsidRDefault="00585AE8" w:rsidP="00F626EE">
            <w:pPr>
              <w:jc w:val="center"/>
              <w:rPr>
                <w:rFonts w:ascii="Calibri" w:hAnsi="Calibri" w:cs="Calibri"/>
                <w:sz w:val="24"/>
                <w:szCs w:val="24"/>
              </w:rPr>
            </w:pPr>
            <w:r>
              <w:rPr>
                <w:rFonts w:ascii="Calibri" w:hAnsi="Calibri" w:cs="Calibri"/>
                <w:sz w:val="24"/>
                <w:szCs w:val="24"/>
              </w:rPr>
              <w:t>Viability</w:t>
            </w:r>
          </w:p>
        </w:tc>
      </w:tr>
      <w:tr w:rsidR="00F626EE" w14:paraId="0D891F94" w14:textId="77777777" w:rsidTr="00F626EE">
        <w:tc>
          <w:tcPr>
            <w:tcW w:w="4675" w:type="dxa"/>
          </w:tcPr>
          <w:p w14:paraId="52358E34" w14:textId="74B96D6C" w:rsidR="00F626EE" w:rsidRDefault="00585AE8" w:rsidP="006621BF">
            <w:pPr>
              <w:rPr>
                <w:rFonts w:ascii="Calibri" w:hAnsi="Calibri" w:cs="Calibri"/>
                <w:sz w:val="24"/>
                <w:szCs w:val="24"/>
              </w:rPr>
            </w:pPr>
            <w:r>
              <w:rPr>
                <w:rFonts w:ascii="Calibri" w:hAnsi="Calibri" w:cs="Calibri"/>
                <w:sz w:val="24"/>
                <w:szCs w:val="24"/>
              </w:rPr>
              <w:t>Overall Cost Leadership</w:t>
            </w:r>
          </w:p>
        </w:tc>
        <w:tc>
          <w:tcPr>
            <w:tcW w:w="4675" w:type="dxa"/>
          </w:tcPr>
          <w:p w14:paraId="4571C435" w14:textId="77777777" w:rsidR="00ED0784" w:rsidRPr="00ED0784" w:rsidRDefault="00ED0784" w:rsidP="00ED0784">
            <w:pPr>
              <w:rPr>
                <w:rFonts w:ascii="Calibri" w:hAnsi="Calibri" w:cs="Calibri"/>
                <w:sz w:val="24"/>
                <w:szCs w:val="24"/>
              </w:rPr>
            </w:pPr>
            <w:r w:rsidRPr="00ED0784">
              <w:rPr>
                <w:rFonts w:ascii="Calibri" w:hAnsi="Calibri" w:cs="Calibri"/>
                <w:sz w:val="24"/>
                <w:szCs w:val="24"/>
              </w:rPr>
              <w:t xml:space="preserve">    Economies of Scale: If SRU can achieve economies of scale in production, distribution, and marketing, they may be able to reduce their costs per unit, allowing them to offer competitive pricing and attract price-sensitive customers.</w:t>
            </w:r>
          </w:p>
          <w:p w14:paraId="38810EAE" w14:textId="77777777" w:rsidR="00ED0784" w:rsidRPr="00ED0784" w:rsidRDefault="00ED0784" w:rsidP="00ED0784">
            <w:pPr>
              <w:rPr>
                <w:rFonts w:ascii="Calibri" w:hAnsi="Calibri" w:cs="Calibri"/>
                <w:sz w:val="24"/>
                <w:szCs w:val="24"/>
              </w:rPr>
            </w:pPr>
          </w:p>
          <w:p w14:paraId="4A1CF27E" w14:textId="77777777" w:rsidR="00ED0784" w:rsidRPr="00ED0784" w:rsidRDefault="00ED0784" w:rsidP="00ED0784">
            <w:pPr>
              <w:rPr>
                <w:rFonts w:ascii="Calibri" w:hAnsi="Calibri" w:cs="Calibri"/>
                <w:sz w:val="24"/>
                <w:szCs w:val="24"/>
              </w:rPr>
            </w:pPr>
            <w:r w:rsidRPr="00ED0784">
              <w:rPr>
                <w:rFonts w:ascii="Calibri" w:hAnsi="Calibri" w:cs="Calibri"/>
                <w:sz w:val="24"/>
                <w:szCs w:val="24"/>
              </w:rPr>
              <w:t xml:space="preserve">    Efficient Operations: Implementing efficient production processes, supply chain management, and cost-saving measures can help SRU lower its overall production costs and maintain a competitive edge in pricing.</w:t>
            </w:r>
          </w:p>
          <w:p w14:paraId="538F97FA" w14:textId="77777777" w:rsidR="00ED0784" w:rsidRPr="00ED0784" w:rsidRDefault="00ED0784" w:rsidP="00ED0784">
            <w:pPr>
              <w:rPr>
                <w:rFonts w:ascii="Calibri" w:hAnsi="Calibri" w:cs="Calibri"/>
                <w:sz w:val="24"/>
                <w:szCs w:val="24"/>
              </w:rPr>
            </w:pPr>
          </w:p>
          <w:p w14:paraId="6B9D5314" w14:textId="46C6213F" w:rsidR="00F626EE" w:rsidRDefault="00ED0784" w:rsidP="00ED0784">
            <w:pPr>
              <w:rPr>
                <w:rFonts w:ascii="Calibri" w:hAnsi="Calibri" w:cs="Calibri"/>
                <w:sz w:val="24"/>
                <w:szCs w:val="24"/>
              </w:rPr>
            </w:pPr>
            <w:r w:rsidRPr="00ED0784">
              <w:rPr>
                <w:rFonts w:ascii="Calibri" w:hAnsi="Calibri" w:cs="Calibri"/>
                <w:sz w:val="24"/>
                <w:szCs w:val="24"/>
              </w:rPr>
              <w:t xml:space="preserve">    Target Market: If SRU's target market consists of price-sensitive customers who prioritize cost savings over other factors such as product features or brand prestige, then an overall cost leadership strategy may be viable.</w:t>
            </w:r>
          </w:p>
        </w:tc>
      </w:tr>
      <w:tr w:rsidR="00F626EE" w14:paraId="53AA532E" w14:textId="77777777" w:rsidTr="00F626EE">
        <w:tc>
          <w:tcPr>
            <w:tcW w:w="4675" w:type="dxa"/>
          </w:tcPr>
          <w:p w14:paraId="608D273D" w14:textId="4B13F91A" w:rsidR="00F626EE" w:rsidRDefault="00585AE8" w:rsidP="006621BF">
            <w:pPr>
              <w:rPr>
                <w:rFonts w:ascii="Calibri" w:hAnsi="Calibri" w:cs="Calibri"/>
                <w:sz w:val="24"/>
                <w:szCs w:val="24"/>
              </w:rPr>
            </w:pPr>
            <w:r>
              <w:rPr>
                <w:rFonts w:ascii="Calibri" w:hAnsi="Calibri" w:cs="Calibri"/>
                <w:sz w:val="24"/>
                <w:szCs w:val="24"/>
              </w:rPr>
              <w:t>Differentiation</w:t>
            </w:r>
          </w:p>
        </w:tc>
        <w:tc>
          <w:tcPr>
            <w:tcW w:w="4675" w:type="dxa"/>
          </w:tcPr>
          <w:p w14:paraId="13357D2B" w14:textId="77777777" w:rsidR="00D22E78" w:rsidRPr="00D22E78" w:rsidRDefault="00D22E78" w:rsidP="00D22E78">
            <w:pPr>
              <w:rPr>
                <w:rFonts w:ascii="Calibri" w:hAnsi="Calibri" w:cs="Calibri"/>
                <w:sz w:val="24"/>
                <w:szCs w:val="24"/>
              </w:rPr>
            </w:pPr>
            <w:r w:rsidRPr="00D22E78">
              <w:rPr>
                <w:rFonts w:ascii="Calibri" w:hAnsi="Calibri" w:cs="Calibri"/>
                <w:sz w:val="24"/>
                <w:szCs w:val="24"/>
              </w:rPr>
              <w:t xml:space="preserve">    Unique Features: SRU's new solar water heating system offers advanced features and functions, such as high-efficiency solar panels, innovative technology, and environmental benefits, which differentiate it from competitors' offerings.</w:t>
            </w:r>
          </w:p>
          <w:p w14:paraId="060F9D76" w14:textId="77777777" w:rsidR="00D22E78" w:rsidRPr="00D22E78" w:rsidRDefault="00D22E78" w:rsidP="00D22E78">
            <w:pPr>
              <w:rPr>
                <w:rFonts w:ascii="Calibri" w:hAnsi="Calibri" w:cs="Calibri"/>
                <w:sz w:val="24"/>
                <w:szCs w:val="24"/>
              </w:rPr>
            </w:pPr>
          </w:p>
          <w:p w14:paraId="20186C3F" w14:textId="77777777" w:rsidR="00D22E78" w:rsidRPr="00D22E78" w:rsidRDefault="00D22E78" w:rsidP="00D22E78">
            <w:pPr>
              <w:rPr>
                <w:rFonts w:ascii="Calibri" w:hAnsi="Calibri" w:cs="Calibri"/>
                <w:sz w:val="24"/>
                <w:szCs w:val="24"/>
              </w:rPr>
            </w:pPr>
            <w:r w:rsidRPr="00D22E78">
              <w:rPr>
                <w:rFonts w:ascii="Calibri" w:hAnsi="Calibri" w:cs="Calibri"/>
                <w:sz w:val="24"/>
                <w:szCs w:val="24"/>
              </w:rPr>
              <w:t xml:space="preserve">    Brand Reputation: SRU has an established brand presence and a reputation for quality and innovation. Leveraging this brand equity to emphasize the unique value proposition of their product can help differentiate SRU in the market.</w:t>
            </w:r>
          </w:p>
          <w:p w14:paraId="63FD5F16" w14:textId="77777777" w:rsidR="00D22E78" w:rsidRPr="00D22E78" w:rsidRDefault="00D22E78" w:rsidP="00D22E78">
            <w:pPr>
              <w:rPr>
                <w:rFonts w:ascii="Calibri" w:hAnsi="Calibri" w:cs="Calibri"/>
                <w:sz w:val="24"/>
                <w:szCs w:val="24"/>
              </w:rPr>
            </w:pPr>
          </w:p>
          <w:p w14:paraId="22272B06" w14:textId="0A35C3A9" w:rsidR="00F626EE" w:rsidRDefault="00D22E78" w:rsidP="00D22E78">
            <w:pPr>
              <w:rPr>
                <w:rFonts w:ascii="Calibri" w:hAnsi="Calibri" w:cs="Calibri"/>
                <w:sz w:val="24"/>
                <w:szCs w:val="24"/>
              </w:rPr>
            </w:pPr>
            <w:r w:rsidRPr="00D22E78">
              <w:rPr>
                <w:rFonts w:ascii="Calibri" w:hAnsi="Calibri" w:cs="Calibri"/>
                <w:sz w:val="24"/>
                <w:szCs w:val="24"/>
              </w:rPr>
              <w:t xml:space="preserve">    Customer Segmentation: By understanding the diverse needs and preferences of different customer segments, SRU can tailor its product offerings and marketing strategies </w:t>
            </w:r>
            <w:r w:rsidRPr="00D22E78">
              <w:rPr>
                <w:rFonts w:ascii="Calibri" w:hAnsi="Calibri" w:cs="Calibri"/>
                <w:sz w:val="24"/>
                <w:szCs w:val="24"/>
              </w:rPr>
              <w:lastRenderedPageBreak/>
              <w:t>to effectively differentiate itself and capture market share.</w:t>
            </w:r>
          </w:p>
        </w:tc>
      </w:tr>
      <w:tr w:rsidR="00F626EE" w14:paraId="16C27EAA" w14:textId="77777777" w:rsidTr="00F626EE">
        <w:tc>
          <w:tcPr>
            <w:tcW w:w="4675" w:type="dxa"/>
          </w:tcPr>
          <w:p w14:paraId="4845E8EC" w14:textId="05A5096C" w:rsidR="00F626EE" w:rsidRDefault="003B7A19" w:rsidP="006621BF">
            <w:pPr>
              <w:rPr>
                <w:rFonts w:ascii="Calibri" w:hAnsi="Calibri" w:cs="Calibri"/>
                <w:sz w:val="24"/>
                <w:szCs w:val="24"/>
              </w:rPr>
            </w:pPr>
            <w:r>
              <w:rPr>
                <w:rFonts w:ascii="Calibri" w:hAnsi="Calibri" w:cs="Calibri"/>
                <w:sz w:val="24"/>
                <w:szCs w:val="24"/>
              </w:rPr>
              <w:lastRenderedPageBreak/>
              <w:t>Focus</w:t>
            </w:r>
          </w:p>
        </w:tc>
        <w:tc>
          <w:tcPr>
            <w:tcW w:w="4675" w:type="dxa"/>
          </w:tcPr>
          <w:p w14:paraId="493296F6" w14:textId="77777777" w:rsidR="003379D6" w:rsidRPr="003379D6" w:rsidRDefault="003379D6" w:rsidP="003379D6">
            <w:pPr>
              <w:rPr>
                <w:rFonts w:ascii="Calibri" w:hAnsi="Calibri" w:cs="Calibri"/>
                <w:sz w:val="24"/>
                <w:szCs w:val="24"/>
              </w:rPr>
            </w:pPr>
            <w:r w:rsidRPr="003379D6">
              <w:rPr>
                <w:rFonts w:ascii="Calibri" w:hAnsi="Calibri" w:cs="Calibri"/>
                <w:sz w:val="24"/>
                <w:szCs w:val="24"/>
              </w:rPr>
              <w:t xml:space="preserve">    Targeted Marketing: By focusing on a specific market segment or niche, SRU can tailor its marketing efforts and product offerings to better meet the needs and preferences of that particular customer group. This targeted approach can lead to higher customer satisfaction and loyalty.</w:t>
            </w:r>
          </w:p>
          <w:p w14:paraId="34D62A6B" w14:textId="77777777" w:rsidR="003379D6" w:rsidRPr="003379D6" w:rsidRDefault="003379D6" w:rsidP="003379D6">
            <w:pPr>
              <w:rPr>
                <w:rFonts w:ascii="Calibri" w:hAnsi="Calibri" w:cs="Calibri"/>
                <w:sz w:val="24"/>
                <w:szCs w:val="24"/>
              </w:rPr>
            </w:pPr>
          </w:p>
          <w:p w14:paraId="1726168D" w14:textId="77777777" w:rsidR="003379D6" w:rsidRPr="003379D6" w:rsidRDefault="003379D6" w:rsidP="003379D6">
            <w:pPr>
              <w:rPr>
                <w:rFonts w:ascii="Calibri" w:hAnsi="Calibri" w:cs="Calibri"/>
                <w:sz w:val="24"/>
                <w:szCs w:val="24"/>
              </w:rPr>
            </w:pPr>
            <w:r w:rsidRPr="003379D6">
              <w:rPr>
                <w:rFonts w:ascii="Calibri" w:hAnsi="Calibri" w:cs="Calibri"/>
                <w:sz w:val="24"/>
                <w:szCs w:val="24"/>
              </w:rPr>
              <w:t xml:space="preserve">    Specialization: Focusing on a specific market segment allows SRU to specialize in addressing the unique requirements and challenges of that segment, potentially leading to higher efficiency, product quality, and innovation.</w:t>
            </w:r>
          </w:p>
          <w:p w14:paraId="2B3BE43C" w14:textId="77777777" w:rsidR="003379D6" w:rsidRPr="003379D6" w:rsidRDefault="003379D6" w:rsidP="003379D6">
            <w:pPr>
              <w:rPr>
                <w:rFonts w:ascii="Calibri" w:hAnsi="Calibri" w:cs="Calibri"/>
                <w:sz w:val="24"/>
                <w:szCs w:val="24"/>
              </w:rPr>
            </w:pPr>
          </w:p>
          <w:p w14:paraId="3D057E13" w14:textId="33AF9070" w:rsidR="00F626EE" w:rsidRDefault="003379D6" w:rsidP="003379D6">
            <w:pPr>
              <w:rPr>
                <w:rFonts w:ascii="Calibri" w:hAnsi="Calibri" w:cs="Calibri"/>
                <w:sz w:val="24"/>
                <w:szCs w:val="24"/>
              </w:rPr>
            </w:pPr>
            <w:r w:rsidRPr="003379D6">
              <w:rPr>
                <w:rFonts w:ascii="Calibri" w:hAnsi="Calibri" w:cs="Calibri"/>
                <w:sz w:val="24"/>
                <w:szCs w:val="24"/>
              </w:rPr>
              <w:t xml:space="preserve">    Competitive Advantage: By becoming the leader or specialist in a particular market segment, SRU can establish a strong competitive advantage and defend against broader competition from larger players in the industry.</w:t>
            </w:r>
            <w:bookmarkStart w:id="0" w:name="_GoBack"/>
            <w:bookmarkEnd w:id="0"/>
          </w:p>
        </w:tc>
      </w:tr>
    </w:tbl>
    <w:p w14:paraId="7EE41147" w14:textId="77777777" w:rsidR="00F626EE" w:rsidRPr="006C34A5" w:rsidRDefault="00F626EE" w:rsidP="006621BF">
      <w:pPr>
        <w:rPr>
          <w:rFonts w:ascii="Calibri" w:hAnsi="Calibri" w:cs="Calibri"/>
          <w:sz w:val="24"/>
          <w:szCs w:val="24"/>
        </w:rPr>
      </w:pPr>
    </w:p>
    <w:sectPr w:rsidR="00F626EE" w:rsidRPr="006C3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590"/>
    <w:multiLevelType w:val="hybridMultilevel"/>
    <w:tmpl w:val="FBF2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2F1A"/>
    <w:multiLevelType w:val="hybridMultilevel"/>
    <w:tmpl w:val="6C26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C39C3"/>
    <w:multiLevelType w:val="hybridMultilevel"/>
    <w:tmpl w:val="C752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629DB"/>
    <w:multiLevelType w:val="hybridMultilevel"/>
    <w:tmpl w:val="EB60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016CD"/>
    <w:multiLevelType w:val="hybridMultilevel"/>
    <w:tmpl w:val="F236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A5"/>
    <w:rsid w:val="00004AC3"/>
    <w:rsid w:val="00060105"/>
    <w:rsid w:val="00130F02"/>
    <w:rsid w:val="00132180"/>
    <w:rsid w:val="00175ACC"/>
    <w:rsid w:val="001921DE"/>
    <w:rsid w:val="001979DC"/>
    <w:rsid w:val="001A5650"/>
    <w:rsid w:val="001D0D20"/>
    <w:rsid w:val="0023429F"/>
    <w:rsid w:val="00270EB7"/>
    <w:rsid w:val="002B51E4"/>
    <w:rsid w:val="003379D6"/>
    <w:rsid w:val="00364031"/>
    <w:rsid w:val="00374D2C"/>
    <w:rsid w:val="00397E20"/>
    <w:rsid w:val="003B7A19"/>
    <w:rsid w:val="003C3532"/>
    <w:rsid w:val="00411F7B"/>
    <w:rsid w:val="00441941"/>
    <w:rsid w:val="00557DBB"/>
    <w:rsid w:val="00572BD4"/>
    <w:rsid w:val="00573C2B"/>
    <w:rsid w:val="0057508A"/>
    <w:rsid w:val="00585AE8"/>
    <w:rsid w:val="005D751F"/>
    <w:rsid w:val="005F5FA1"/>
    <w:rsid w:val="00631152"/>
    <w:rsid w:val="006621BF"/>
    <w:rsid w:val="006C27B2"/>
    <w:rsid w:val="006C34A5"/>
    <w:rsid w:val="007252C7"/>
    <w:rsid w:val="007873CF"/>
    <w:rsid w:val="007A3A70"/>
    <w:rsid w:val="007F63E4"/>
    <w:rsid w:val="008059CD"/>
    <w:rsid w:val="00810DED"/>
    <w:rsid w:val="00837891"/>
    <w:rsid w:val="00893395"/>
    <w:rsid w:val="008E7AB1"/>
    <w:rsid w:val="008F30DE"/>
    <w:rsid w:val="00903ABB"/>
    <w:rsid w:val="0090697B"/>
    <w:rsid w:val="00910AB9"/>
    <w:rsid w:val="009373BE"/>
    <w:rsid w:val="009B7AB5"/>
    <w:rsid w:val="009C3812"/>
    <w:rsid w:val="00A15BC1"/>
    <w:rsid w:val="00A4133C"/>
    <w:rsid w:val="00A418DB"/>
    <w:rsid w:val="00A62964"/>
    <w:rsid w:val="00B11534"/>
    <w:rsid w:val="00B22402"/>
    <w:rsid w:val="00B67189"/>
    <w:rsid w:val="00BF0165"/>
    <w:rsid w:val="00BF7632"/>
    <w:rsid w:val="00C15E84"/>
    <w:rsid w:val="00C75417"/>
    <w:rsid w:val="00D04EF4"/>
    <w:rsid w:val="00D1008F"/>
    <w:rsid w:val="00D17E67"/>
    <w:rsid w:val="00D22E78"/>
    <w:rsid w:val="00D63F92"/>
    <w:rsid w:val="00D92CFA"/>
    <w:rsid w:val="00D9433D"/>
    <w:rsid w:val="00DB5708"/>
    <w:rsid w:val="00DB5E07"/>
    <w:rsid w:val="00E94B2A"/>
    <w:rsid w:val="00ED0784"/>
    <w:rsid w:val="00F12A84"/>
    <w:rsid w:val="00F53181"/>
    <w:rsid w:val="00F626EE"/>
    <w:rsid w:val="00F6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610BE"/>
  <w15:chartTrackingRefBased/>
  <w15:docId w15:val="{1777AEAC-6011-4B89-B215-D990071F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A5"/>
    <w:pPr>
      <w:ind w:left="720"/>
      <w:contextualSpacing/>
    </w:pPr>
  </w:style>
  <w:style w:type="character" w:styleId="Hyperlink">
    <w:name w:val="Hyperlink"/>
    <w:basedOn w:val="DefaultParagraphFont"/>
    <w:uiPriority w:val="99"/>
    <w:unhideWhenUsed/>
    <w:rsid w:val="006C34A5"/>
    <w:rPr>
      <w:color w:val="0000FF"/>
      <w:u w:val="single"/>
    </w:rPr>
  </w:style>
  <w:style w:type="table" w:styleId="TableGrid">
    <w:name w:val="Table Grid"/>
    <w:basedOn w:val="TableNormal"/>
    <w:uiPriority w:val="39"/>
    <w:rsid w:val="00903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371">
      <w:bodyDiv w:val="1"/>
      <w:marLeft w:val="0"/>
      <w:marRight w:val="0"/>
      <w:marTop w:val="0"/>
      <w:marBottom w:val="0"/>
      <w:divBdr>
        <w:top w:val="none" w:sz="0" w:space="0" w:color="auto"/>
        <w:left w:val="none" w:sz="0" w:space="0" w:color="auto"/>
        <w:bottom w:val="none" w:sz="0" w:space="0" w:color="auto"/>
        <w:right w:val="none" w:sz="0" w:space="0" w:color="auto"/>
      </w:divBdr>
    </w:div>
    <w:div w:id="135418644">
      <w:bodyDiv w:val="1"/>
      <w:marLeft w:val="0"/>
      <w:marRight w:val="0"/>
      <w:marTop w:val="0"/>
      <w:marBottom w:val="0"/>
      <w:divBdr>
        <w:top w:val="none" w:sz="0" w:space="0" w:color="auto"/>
        <w:left w:val="none" w:sz="0" w:space="0" w:color="auto"/>
        <w:bottom w:val="none" w:sz="0" w:space="0" w:color="auto"/>
        <w:right w:val="none" w:sz="0" w:space="0" w:color="auto"/>
      </w:divBdr>
    </w:div>
    <w:div w:id="626089945">
      <w:bodyDiv w:val="1"/>
      <w:marLeft w:val="0"/>
      <w:marRight w:val="0"/>
      <w:marTop w:val="0"/>
      <w:marBottom w:val="0"/>
      <w:divBdr>
        <w:top w:val="none" w:sz="0" w:space="0" w:color="auto"/>
        <w:left w:val="none" w:sz="0" w:space="0" w:color="auto"/>
        <w:bottom w:val="none" w:sz="0" w:space="0" w:color="auto"/>
        <w:right w:val="none" w:sz="0" w:space="0" w:color="auto"/>
      </w:divBdr>
    </w:div>
    <w:div w:id="822509413">
      <w:bodyDiv w:val="1"/>
      <w:marLeft w:val="0"/>
      <w:marRight w:val="0"/>
      <w:marTop w:val="0"/>
      <w:marBottom w:val="0"/>
      <w:divBdr>
        <w:top w:val="none" w:sz="0" w:space="0" w:color="auto"/>
        <w:left w:val="none" w:sz="0" w:space="0" w:color="auto"/>
        <w:bottom w:val="none" w:sz="0" w:space="0" w:color="auto"/>
        <w:right w:val="none" w:sz="0" w:space="0" w:color="auto"/>
      </w:divBdr>
    </w:div>
    <w:div w:id="1028288272">
      <w:bodyDiv w:val="1"/>
      <w:marLeft w:val="0"/>
      <w:marRight w:val="0"/>
      <w:marTop w:val="0"/>
      <w:marBottom w:val="0"/>
      <w:divBdr>
        <w:top w:val="none" w:sz="0" w:space="0" w:color="auto"/>
        <w:left w:val="none" w:sz="0" w:space="0" w:color="auto"/>
        <w:bottom w:val="none" w:sz="0" w:space="0" w:color="auto"/>
        <w:right w:val="none" w:sz="0" w:space="0" w:color="auto"/>
      </w:divBdr>
      <w:divsChild>
        <w:div w:id="1528180637">
          <w:marLeft w:val="0"/>
          <w:marRight w:val="0"/>
          <w:marTop w:val="0"/>
          <w:marBottom w:val="0"/>
          <w:divBdr>
            <w:top w:val="none" w:sz="0" w:space="0" w:color="auto"/>
            <w:left w:val="none" w:sz="0" w:space="0" w:color="auto"/>
            <w:bottom w:val="none" w:sz="0" w:space="0" w:color="auto"/>
            <w:right w:val="none" w:sz="0" w:space="0" w:color="auto"/>
          </w:divBdr>
          <w:divsChild>
            <w:div w:id="1756435219">
              <w:marLeft w:val="0"/>
              <w:marRight w:val="0"/>
              <w:marTop w:val="0"/>
              <w:marBottom w:val="0"/>
              <w:divBdr>
                <w:top w:val="none" w:sz="0" w:space="0" w:color="auto"/>
                <w:left w:val="none" w:sz="0" w:space="0" w:color="auto"/>
                <w:bottom w:val="none" w:sz="0" w:space="0" w:color="auto"/>
                <w:right w:val="none" w:sz="0" w:space="0" w:color="auto"/>
              </w:divBdr>
              <w:divsChild>
                <w:div w:id="1713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99276">
      <w:bodyDiv w:val="1"/>
      <w:marLeft w:val="0"/>
      <w:marRight w:val="0"/>
      <w:marTop w:val="0"/>
      <w:marBottom w:val="0"/>
      <w:divBdr>
        <w:top w:val="none" w:sz="0" w:space="0" w:color="auto"/>
        <w:left w:val="none" w:sz="0" w:space="0" w:color="auto"/>
        <w:bottom w:val="none" w:sz="0" w:space="0" w:color="auto"/>
        <w:right w:val="none" w:sz="0" w:space="0" w:color="auto"/>
      </w:divBdr>
    </w:div>
    <w:div w:id="1402755641">
      <w:bodyDiv w:val="1"/>
      <w:marLeft w:val="0"/>
      <w:marRight w:val="0"/>
      <w:marTop w:val="0"/>
      <w:marBottom w:val="0"/>
      <w:divBdr>
        <w:top w:val="none" w:sz="0" w:space="0" w:color="auto"/>
        <w:left w:val="none" w:sz="0" w:space="0" w:color="auto"/>
        <w:bottom w:val="none" w:sz="0" w:space="0" w:color="auto"/>
        <w:right w:val="none" w:sz="0" w:space="0" w:color="auto"/>
      </w:divBdr>
      <w:divsChild>
        <w:div w:id="1105268656">
          <w:marLeft w:val="0"/>
          <w:marRight w:val="0"/>
          <w:marTop w:val="0"/>
          <w:marBottom w:val="0"/>
          <w:divBdr>
            <w:top w:val="none" w:sz="0" w:space="0" w:color="auto"/>
            <w:left w:val="none" w:sz="0" w:space="0" w:color="auto"/>
            <w:bottom w:val="none" w:sz="0" w:space="0" w:color="auto"/>
            <w:right w:val="none" w:sz="0" w:space="0" w:color="auto"/>
          </w:divBdr>
          <w:divsChild>
            <w:div w:id="1946619480">
              <w:marLeft w:val="0"/>
              <w:marRight w:val="0"/>
              <w:marTop w:val="0"/>
              <w:marBottom w:val="0"/>
              <w:divBdr>
                <w:top w:val="none" w:sz="0" w:space="0" w:color="auto"/>
                <w:left w:val="none" w:sz="0" w:space="0" w:color="auto"/>
                <w:bottom w:val="none" w:sz="0" w:space="0" w:color="auto"/>
                <w:right w:val="none" w:sz="0" w:space="0" w:color="auto"/>
              </w:divBdr>
              <w:divsChild>
                <w:div w:id="1342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228">
      <w:bodyDiv w:val="1"/>
      <w:marLeft w:val="0"/>
      <w:marRight w:val="0"/>
      <w:marTop w:val="0"/>
      <w:marBottom w:val="0"/>
      <w:divBdr>
        <w:top w:val="none" w:sz="0" w:space="0" w:color="auto"/>
        <w:left w:val="none" w:sz="0" w:space="0" w:color="auto"/>
        <w:bottom w:val="none" w:sz="0" w:space="0" w:color="auto"/>
        <w:right w:val="none" w:sz="0" w:space="0" w:color="auto"/>
      </w:divBdr>
    </w:div>
    <w:div w:id="20330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6FB8F-5B1B-459C-820F-5E001327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21</cp:revision>
  <cp:lastPrinted>2023-11-22T18:12:00Z</cp:lastPrinted>
  <dcterms:created xsi:type="dcterms:W3CDTF">2023-11-22T18:03:00Z</dcterms:created>
  <dcterms:modified xsi:type="dcterms:W3CDTF">2024-02-09T03:52:00Z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94800f89ec73c6b3d5bb1f3672838ac0b2fdcecdb6917f09396184f17b455d33</vt:lpwstr>
  </property>
</Properties>
</file>