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A1D36" w14:textId="6FE9A316" w:rsidR="000D6099" w:rsidRPr="000D6099" w:rsidRDefault="000D6099">
      <w:pPr>
        <w:rPr>
          <w:b/>
          <w:bCs/>
        </w:rPr>
      </w:pPr>
      <w:r w:rsidRPr="000D6099">
        <w:rPr>
          <w:b/>
          <w:bCs/>
        </w:rPr>
        <w:t>General Program Information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0D6099" w:rsidRPr="000D6099" w14:paraId="2AF64D60" w14:textId="5608375F" w:rsidTr="000D6099">
        <w:tc>
          <w:tcPr>
            <w:tcW w:w="2515" w:type="dxa"/>
          </w:tcPr>
          <w:p w14:paraId="1ABEF629" w14:textId="77777777" w:rsidR="000D6099" w:rsidRPr="000D6099" w:rsidRDefault="000D6099">
            <w:r w:rsidRPr="000D6099">
              <w:t>Program Name:</w:t>
            </w:r>
          </w:p>
        </w:tc>
        <w:tc>
          <w:tcPr>
            <w:tcW w:w="7650" w:type="dxa"/>
          </w:tcPr>
          <w:p w14:paraId="14411879" w14:textId="077B1F10" w:rsidR="000D6099" w:rsidRPr="000D6099" w:rsidRDefault="009F3CD3">
            <w:r>
              <w:t>Integrated Process Improvement Program (IPIP)</w:t>
            </w:r>
          </w:p>
        </w:tc>
      </w:tr>
      <w:tr w:rsidR="000D6099" w:rsidRPr="000D6099" w14:paraId="5C046CDE" w14:textId="77777777" w:rsidTr="000D6099">
        <w:tc>
          <w:tcPr>
            <w:tcW w:w="2515" w:type="dxa"/>
          </w:tcPr>
          <w:p w14:paraId="0AC01A3D" w14:textId="26D363D9" w:rsidR="000D6099" w:rsidRPr="000D6099" w:rsidRDefault="000D6099">
            <w:r>
              <w:t>Program Overview:</w:t>
            </w:r>
          </w:p>
        </w:tc>
        <w:tc>
          <w:tcPr>
            <w:tcW w:w="7650" w:type="dxa"/>
          </w:tcPr>
          <w:p w14:paraId="06BB56FA" w14:textId="50A96349" w:rsidR="000D6099" w:rsidRPr="000D6099" w:rsidRDefault="009F3CD3">
            <w:r>
              <w:t xml:space="preserve">The IPIP </w:t>
            </w:r>
            <w:proofErr w:type="gramStart"/>
            <w:r>
              <w:t>was launched</w:t>
            </w:r>
            <w:proofErr w:type="gramEnd"/>
            <w:r>
              <w:t xml:space="preserve"> to address process inefficiencies following </w:t>
            </w:r>
            <w:proofErr w:type="spellStart"/>
            <w:r>
              <w:t>TechVision’s</w:t>
            </w:r>
            <w:proofErr w:type="spellEnd"/>
            <w:r>
              <w:t xml:space="preserve"> previous digital transformation initiatives. It focused on streamlining recruitment workflows, enhancing cloud performance, and improving CRM integration and automation </w:t>
            </w:r>
            <w:proofErr w:type="gramStart"/>
            <w:r>
              <w:t>to fully realize</w:t>
            </w:r>
            <w:proofErr w:type="gramEnd"/>
            <w:r>
              <w:t xml:space="preserve"> the benefits of AI-driven tools, cloud migration, and enhanced cybersecurity.</w:t>
            </w:r>
          </w:p>
        </w:tc>
      </w:tr>
      <w:tr w:rsidR="000D6099" w:rsidRPr="000D6099" w14:paraId="019B5CE7" w14:textId="20548F15" w:rsidTr="000D6099">
        <w:tc>
          <w:tcPr>
            <w:tcW w:w="2515" w:type="dxa"/>
          </w:tcPr>
          <w:p w14:paraId="4603247B" w14:textId="77777777" w:rsidR="000D6099" w:rsidRPr="000D6099" w:rsidRDefault="000D6099">
            <w:r w:rsidRPr="000D6099">
              <w:t>Inclusive Dates:</w:t>
            </w:r>
          </w:p>
        </w:tc>
        <w:tc>
          <w:tcPr>
            <w:tcW w:w="7650" w:type="dxa"/>
          </w:tcPr>
          <w:p w14:paraId="6701EA26" w14:textId="4E17DC26" w:rsidR="000D6099" w:rsidRPr="000D6099" w:rsidRDefault="009F3CD3">
            <w:r>
              <w:t>April</w:t>
            </w:r>
            <w:r>
              <w:t xml:space="preserve"> 1, 20XX – September 30, 20XX</w:t>
            </w:r>
          </w:p>
        </w:tc>
      </w:tr>
      <w:tr w:rsidR="000D6099" w:rsidRPr="000D6099" w14:paraId="1979318B" w14:textId="4F80A59F" w:rsidTr="000D6099">
        <w:tc>
          <w:tcPr>
            <w:tcW w:w="2515" w:type="dxa"/>
          </w:tcPr>
          <w:p w14:paraId="4047B1B5" w14:textId="77777777" w:rsidR="000D6099" w:rsidRPr="000D6099" w:rsidRDefault="000D6099">
            <w:r w:rsidRPr="000D6099">
              <w:t>Program Manager:</w:t>
            </w:r>
          </w:p>
        </w:tc>
        <w:tc>
          <w:tcPr>
            <w:tcW w:w="7650" w:type="dxa"/>
          </w:tcPr>
          <w:p w14:paraId="155E9B3B" w14:textId="00B224C5" w:rsidR="000D6099" w:rsidRPr="000D6099" w:rsidRDefault="00040972">
            <w:r>
              <w:t>Raj Patel</w:t>
            </w:r>
          </w:p>
        </w:tc>
      </w:tr>
      <w:tr w:rsidR="000D6099" w:rsidRPr="000D6099" w14:paraId="7900C327" w14:textId="6975F16F" w:rsidTr="000D6099">
        <w:tc>
          <w:tcPr>
            <w:tcW w:w="2515" w:type="dxa"/>
          </w:tcPr>
          <w:p w14:paraId="596E56B2" w14:textId="77777777" w:rsidR="000D6099" w:rsidRPr="000D6099" w:rsidRDefault="000D6099">
            <w:r w:rsidRPr="000D6099">
              <w:t>Executive Sponsor:</w:t>
            </w:r>
          </w:p>
        </w:tc>
        <w:tc>
          <w:tcPr>
            <w:tcW w:w="7650" w:type="dxa"/>
          </w:tcPr>
          <w:p w14:paraId="6CBC28B5" w14:textId="1EFE0916" w:rsidR="000D6099" w:rsidRPr="000D6099" w:rsidRDefault="00040972">
            <w:r>
              <w:t>Emily Zhang</w:t>
            </w:r>
          </w:p>
        </w:tc>
      </w:tr>
      <w:tr w:rsidR="000D6099" w:rsidRPr="000D6099" w14:paraId="48CDA120" w14:textId="09728B7D" w:rsidTr="000D6099">
        <w:tc>
          <w:tcPr>
            <w:tcW w:w="2515" w:type="dxa"/>
          </w:tcPr>
          <w:p w14:paraId="2D4B9CDD" w14:textId="77777777" w:rsidR="000D6099" w:rsidRPr="000D6099" w:rsidRDefault="000D6099">
            <w:r w:rsidRPr="000D6099">
              <w:t>Date of Closure:</w:t>
            </w:r>
          </w:p>
        </w:tc>
        <w:tc>
          <w:tcPr>
            <w:tcW w:w="7650" w:type="dxa"/>
          </w:tcPr>
          <w:p w14:paraId="0A5DE4E6" w14:textId="05E250AE" w:rsidR="000D6099" w:rsidRPr="000D6099" w:rsidRDefault="00040972">
            <w:r>
              <w:t>September 30, 20XX</w:t>
            </w:r>
          </w:p>
        </w:tc>
      </w:tr>
      <w:tr w:rsidR="000D6099" w:rsidRPr="000D6099" w14:paraId="2A557E60" w14:textId="4F22FEA8" w:rsidTr="000D6099">
        <w:tc>
          <w:tcPr>
            <w:tcW w:w="2515" w:type="dxa"/>
          </w:tcPr>
          <w:p w14:paraId="13AB3679" w14:textId="77777777" w:rsidR="000D6099" w:rsidRPr="000D6099" w:rsidRDefault="000D6099">
            <w:r w:rsidRPr="000D6099">
              <w:t>Report Prepared By:</w:t>
            </w:r>
          </w:p>
        </w:tc>
        <w:tc>
          <w:tcPr>
            <w:tcW w:w="7650" w:type="dxa"/>
          </w:tcPr>
          <w:p w14:paraId="0C90483A" w14:textId="23109F69" w:rsidR="000D6099" w:rsidRPr="000D6099" w:rsidRDefault="00040972">
            <w:r>
              <w:t>Raj Patel</w:t>
            </w:r>
          </w:p>
        </w:tc>
      </w:tr>
    </w:tbl>
    <w:p w14:paraId="7705304A" w14:textId="77777777" w:rsidR="000D6099" w:rsidRDefault="000D6099" w:rsidP="000D6099"/>
    <w:p w14:paraId="6AB679D0" w14:textId="0A68EAD7" w:rsidR="000D6099" w:rsidRPr="000D6099" w:rsidRDefault="000D6099" w:rsidP="000D6099">
      <w:pPr>
        <w:rPr>
          <w:b/>
          <w:bCs/>
        </w:rPr>
      </w:pPr>
      <w:r w:rsidRPr="000D6099">
        <w:rPr>
          <w:b/>
          <w:bCs/>
        </w:rPr>
        <w:t>Part I: List of Projects and Program Components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75"/>
        <w:gridCol w:w="5490"/>
      </w:tblGrid>
      <w:tr w:rsidR="000D6099" w:rsidRPr="000D6099" w14:paraId="3C990E33" w14:textId="77777777" w:rsidTr="000D6099">
        <w:tc>
          <w:tcPr>
            <w:tcW w:w="4675" w:type="dxa"/>
          </w:tcPr>
          <w:p w14:paraId="19B1D170" w14:textId="2DC1B283" w:rsidR="000D6099" w:rsidRPr="000D6099" w:rsidRDefault="000D6099">
            <w:r w:rsidRPr="000D6099">
              <w:t xml:space="preserve">Project 1: </w:t>
            </w:r>
            <w:r w:rsidR="00DF3A37">
              <w:t>Recruitment Workflow Optimization</w:t>
            </w:r>
          </w:p>
        </w:tc>
        <w:tc>
          <w:tcPr>
            <w:tcW w:w="5490" w:type="dxa"/>
          </w:tcPr>
          <w:p w14:paraId="55BC8722" w14:textId="60859E03" w:rsidR="000D6099" w:rsidRPr="000D6099" w:rsidRDefault="00DF3A37">
            <w:r>
              <w:t>Focused on refining the AI-driven recruitment system to reduce time-to-hire and improve candidate screening and onboarding. The project enhanced HR team engagement with AI systems and streamlined recruitment processes.</w:t>
            </w:r>
          </w:p>
        </w:tc>
      </w:tr>
      <w:tr w:rsidR="000D6099" w:rsidRPr="000D6099" w14:paraId="73069395" w14:textId="77777777" w:rsidTr="000D6099">
        <w:tc>
          <w:tcPr>
            <w:tcW w:w="4675" w:type="dxa"/>
          </w:tcPr>
          <w:p w14:paraId="56C2951D" w14:textId="20E9CA53" w:rsidR="000D6099" w:rsidRPr="000D6099" w:rsidRDefault="000D6099">
            <w:r w:rsidRPr="000D6099">
              <w:t xml:space="preserve">Project 2: </w:t>
            </w:r>
            <w:r w:rsidR="00BC0492">
              <w:t>Cloud Performance Enhancement</w:t>
            </w:r>
          </w:p>
        </w:tc>
        <w:tc>
          <w:tcPr>
            <w:tcW w:w="5490" w:type="dxa"/>
          </w:tcPr>
          <w:p w14:paraId="01DF6A88" w14:textId="71A38C76" w:rsidR="000D6099" w:rsidRPr="000D6099" w:rsidRDefault="00BC0492">
            <w:r>
              <w:t xml:space="preserve">Targeted the optimization of </w:t>
            </w:r>
            <w:proofErr w:type="spellStart"/>
            <w:r>
              <w:t>TechVision’s</w:t>
            </w:r>
            <w:proofErr w:type="spellEnd"/>
            <w:r>
              <w:t xml:space="preserve"> cloud-based applications to boost system scalability, improve reliability, and reduce downtime through additional performance testing and real-time monitoring.</w:t>
            </w:r>
          </w:p>
        </w:tc>
      </w:tr>
      <w:tr w:rsidR="000D6099" w:rsidRPr="000D6099" w14:paraId="21CC4D43" w14:textId="77777777" w:rsidTr="000D6099">
        <w:tc>
          <w:tcPr>
            <w:tcW w:w="4675" w:type="dxa"/>
          </w:tcPr>
          <w:p w14:paraId="5E58B377" w14:textId="7637B68A" w:rsidR="000D6099" w:rsidRPr="000D6099" w:rsidRDefault="000D6099">
            <w:r w:rsidRPr="000D6099">
              <w:t xml:space="preserve">Project 3: </w:t>
            </w:r>
            <w:r w:rsidR="00110517">
              <w:t>CRM Integration and Automation Improvement</w:t>
            </w:r>
          </w:p>
        </w:tc>
        <w:tc>
          <w:tcPr>
            <w:tcW w:w="5490" w:type="dxa"/>
          </w:tcPr>
          <w:p w14:paraId="0BE9C236" w14:textId="46ADFEF1" w:rsidR="000D6099" w:rsidRPr="000D6099" w:rsidRDefault="00110517">
            <w:r>
              <w:t>Aimed to address the integration challenges between the new AI-driven CRM system and existing legacy systems, while introducing additional automation features to enhance customer service, engagement, and sales performance.</w:t>
            </w:r>
          </w:p>
        </w:tc>
      </w:tr>
      <w:tr w:rsidR="000D6099" w:rsidRPr="000D6099" w14:paraId="0F6B7B2C" w14:textId="77777777" w:rsidTr="000D6099">
        <w:tc>
          <w:tcPr>
            <w:tcW w:w="4675" w:type="dxa"/>
          </w:tcPr>
          <w:p w14:paraId="35BCCD4C" w14:textId="77777777" w:rsidR="000D6099" w:rsidRPr="000D6099" w:rsidRDefault="000D6099">
            <w:r w:rsidRPr="000D6099">
              <w:t>Program Components: (if applicable</w:t>
            </w:r>
          </w:p>
        </w:tc>
        <w:tc>
          <w:tcPr>
            <w:tcW w:w="5490" w:type="dxa"/>
          </w:tcPr>
          <w:p w14:paraId="271C9ACD" w14:textId="3F9BD64F" w:rsidR="000D6099" w:rsidRPr="000D6099" w:rsidRDefault="00110517">
            <w:r>
              <w:t xml:space="preserve">Additional </w:t>
            </w:r>
            <w:proofErr w:type="spellStart"/>
            <w:r>
              <w:t>workstreams</w:t>
            </w:r>
            <w:proofErr w:type="spellEnd"/>
            <w:r>
              <w:t xml:space="preserve"> included cross-department coordination (HR, IT, and Sales) and dedicated change management efforts to ensure full adoption of the improved digital processes.</w:t>
            </w:r>
          </w:p>
        </w:tc>
      </w:tr>
    </w:tbl>
    <w:p w14:paraId="4C410D96" w14:textId="77777777" w:rsidR="000D6099" w:rsidRDefault="000D6099" w:rsidP="000D6099"/>
    <w:p w14:paraId="093D5D9D" w14:textId="77777777" w:rsidR="00FE381D" w:rsidRDefault="00FE381D" w:rsidP="000D6099">
      <w:pPr>
        <w:rPr>
          <w:b/>
          <w:bCs/>
        </w:rPr>
      </w:pPr>
    </w:p>
    <w:p w14:paraId="48581A4C" w14:textId="77777777" w:rsidR="00FE381D" w:rsidRDefault="00FE381D" w:rsidP="000D6099">
      <w:pPr>
        <w:rPr>
          <w:b/>
          <w:bCs/>
        </w:rPr>
      </w:pPr>
    </w:p>
    <w:p w14:paraId="4B6DEB48" w14:textId="123CFA39" w:rsidR="000D6099" w:rsidRPr="000D6099" w:rsidRDefault="000D6099" w:rsidP="000D6099">
      <w:pPr>
        <w:rPr>
          <w:b/>
          <w:bCs/>
        </w:rPr>
      </w:pPr>
      <w:r w:rsidRPr="000D6099">
        <w:rPr>
          <w:b/>
          <w:bCs/>
        </w:rPr>
        <w:lastRenderedPageBreak/>
        <w:t>Part II: Comparison of Planned vs Actual Objectives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325"/>
        <w:gridCol w:w="3510"/>
        <w:gridCol w:w="3330"/>
      </w:tblGrid>
      <w:tr w:rsidR="000D6099" w14:paraId="1ED66C9D" w14:textId="77777777" w:rsidTr="000D6099">
        <w:tc>
          <w:tcPr>
            <w:tcW w:w="3325" w:type="dxa"/>
            <w:shd w:val="clear" w:color="auto" w:fill="D9F2D0" w:themeFill="accent6" w:themeFillTint="33"/>
          </w:tcPr>
          <w:p w14:paraId="76ADF38D" w14:textId="0CCB1F1F" w:rsidR="000D6099" w:rsidRDefault="000D6099" w:rsidP="000D6099">
            <w:pPr>
              <w:jc w:val="center"/>
            </w:pPr>
            <w:r>
              <w:t>Planned Objective</w:t>
            </w:r>
          </w:p>
        </w:tc>
        <w:tc>
          <w:tcPr>
            <w:tcW w:w="3510" w:type="dxa"/>
            <w:shd w:val="clear" w:color="auto" w:fill="D9F2D0" w:themeFill="accent6" w:themeFillTint="33"/>
          </w:tcPr>
          <w:p w14:paraId="0A656FC6" w14:textId="6540DCAE" w:rsidR="000D6099" w:rsidRDefault="000D6099" w:rsidP="000D6099">
            <w:pPr>
              <w:jc w:val="center"/>
            </w:pPr>
            <w:r>
              <w:t>Actual Objective Accomplished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07DA2AB" w14:textId="583D3824" w:rsidR="000D6099" w:rsidRDefault="000D6099" w:rsidP="000D6099">
            <w:pPr>
              <w:jc w:val="center"/>
            </w:pPr>
            <w:r>
              <w:t>Variance Analysis</w:t>
            </w:r>
          </w:p>
        </w:tc>
      </w:tr>
      <w:tr w:rsidR="000D6099" w14:paraId="178B9D03" w14:textId="77777777" w:rsidTr="000D6099">
        <w:tc>
          <w:tcPr>
            <w:tcW w:w="3325" w:type="dxa"/>
          </w:tcPr>
          <w:p w14:paraId="23118B7E" w14:textId="541FAE02" w:rsidR="000D6099" w:rsidRDefault="0043217C" w:rsidP="000D6099">
            <w:r>
              <w:rPr>
                <w:rStyle w:val="Strong"/>
              </w:rPr>
              <w:t>Recruitment Workflow Optimization:</w:t>
            </w:r>
            <w:r>
              <w:t xml:space="preserve"> Reduce time-to-hire by 30%</w:t>
            </w:r>
          </w:p>
        </w:tc>
        <w:tc>
          <w:tcPr>
            <w:tcW w:w="3510" w:type="dxa"/>
          </w:tcPr>
          <w:p w14:paraId="73212D0C" w14:textId="249D6987" w:rsidR="000D6099" w:rsidRDefault="0043217C" w:rsidP="000D6099">
            <w:r>
              <w:t>27% reduction in time-to-hire</w:t>
            </w:r>
          </w:p>
        </w:tc>
        <w:tc>
          <w:tcPr>
            <w:tcW w:w="3330" w:type="dxa"/>
          </w:tcPr>
          <w:p w14:paraId="5ACA221D" w14:textId="59DA98A7" w:rsidR="000D6099" w:rsidRDefault="0043217C" w:rsidP="000D6099">
            <w:r>
              <w:t>Minor variance due to initial delays in training HR staff on new AI tools.</w:t>
            </w:r>
          </w:p>
        </w:tc>
      </w:tr>
      <w:tr w:rsidR="000D6099" w14:paraId="7A374CFD" w14:textId="77777777" w:rsidTr="000D6099">
        <w:tc>
          <w:tcPr>
            <w:tcW w:w="3325" w:type="dxa"/>
          </w:tcPr>
          <w:p w14:paraId="621333D6" w14:textId="0B7B4AE3" w:rsidR="000D6099" w:rsidRDefault="0043217C" w:rsidP="000D6099">
            <w:r>
              <w:rPr>
                <w:rStyle w:val="Strong"/>
              </w:rPr>
              <w:t>Cloud Performance Enhancement:</w:t>
            </w:r>
            <w:r>
              <w:t xml:space="preserve"> Improve scalability by 20% and reduce downtime by 25%</w:t>
            </w:r>
          </w:p>
        </w:tc>
        <w:tc>
          <w:tcPr>
            <w:tcW w:w="3510" w:type="dxa"/>
          </w:tcPr>
          <w:p w14:paraId="15B877FB" w14:textId="2DD6A778" w:rsidR="000D6099" w:rsidRDefault="0043217C" w:rsidP="000D6099">
            <w:r>
              <w:t>20% improvement in scalability and 22% reduction in downtime</w:t>
            </w:r>
          </w:p>
        </w:tc>
        <w:tc>
          <w:tcPr>
            <w:tcW w:w="3330" w:type="dxa"/>
          </w:tcPr>
          <w:p w14:paraId="60DF867D" w14:textId="4BB67014" w:rsidR="000D6099" w:rsidRDefault="0043217C" w:rsidP="000D6099">
            <w:r>
              <w:t>Slight underperformance in downtime reduction attributed to temporary vendor delays.</w:t>
            </w:r>
          </w:p>
        </w:tc>
      </w:tr>
      <w:tr w:rsidR="000D6099" w14:paraId="092E53EC" w14:textId="77777777" w:rsidTr="000D6099">
        <w:tc>
          <w:tcPr>
            <w:tcW w:w="3325" w:type="dxa"/>
          </w:tcPr>
          <w:p w14:paraId="36916F1C" w14:textId="2CA3BE98" w:rsidR="000D6099" w:rsidRDefault="0043217C" w:rsidP="000D6099">
            <w:r>
              <w:rPr>
                <w:rStyle w:val="Strong"/>
              </w:rPr>
              <w:t>CRM Integration and Automation Improvement:</w:t>
            </w:r>
            <w:r>
              <w:t xml:space="preserve"> Increase customer satisfaction by 15% via automation enhancements</w:t>
            </w:r>
          </w:p>
        </w:tc>
        <w:tc>
          <w:tcPr>
            <w:tcW w:w="3510" w:type="dxa"/>
          </w:tcPr>
          <w:p w14:paraId="04605FEA" w14:textId="0E2370B5" w:rsidR="000D6099" w:rsidRDefault="0043217C" w:rsidP="000D6099">
            <w:r>
              <w:t>13% increase in customer satisfaction</w:t>
            </w:r>
          </w:p>
        </w:tc>
        <w:tc>
          <w:tcPr>
            <w:tcW w:w="3330" w:type="dxa"/>
          </w:tcPr>
          <w:p w14:paraId="004C4637" w14:textId="71A020A7" w:rsidR="000D6099" w:rsidRDefault="0043217C" w:rsidP="000D6099">
            <w:r>
              <w:t xml:space="preserve">Minor shortfall due to integration challenges with legacy systems </w:t>
            </w:r>
            <w:proofErr w:type="gramStart"/>
            <w:r>
              <w:t>impacting</w:t>
            </w:r>
            <w:proofErr w:type="gramEnd"/>
            <w:r>
              <w:t xml:space="preserve"> full automation potential.</w:t>
            </w:r>
          </w:p>
        </w:tc>
      </w:tr>
    </w:tbl>
    <w:p w14:paraId="75577071" w14:textId="77777777" w:rsidR="000D6099" w:rsidRDefault="000D6099" w:rsidP="000D6099"/>
    <w:p w14:paraId="258A759B" w14:textId="4C3E5331" w:rsidR="000D6099" w:rsidRPr="00D02820" w:rsidRDefault="000D6099" w:rsidP="000D6099">
      <w:pPr>
        <w:rPr>
          <w:b/>
          <w:bCs/>
        </w:rPr>
      </w:pPr>
      <w:r w:rsidRPr="00D02820">
        <w:rPr>
          <w:b/>
          <w:bCs/>
        </w:rPr>
        <w:t>Part III: Program Closure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0D6099" w14:paraId="5BD10694" w14:textId="77777777" w:rsidTr="000D6099">
        <w:tc>
          <w:tcPr>
            <w:tcW w:w="3415" w:type="dxa"/>
            <w:shd w:val="clear" w:color="auto" w:fill="D9F2D0" w:themeFill="accent6" w:themeFillTint="33"/>
          </w:tcPr>
          <w:p w14:paraId="5287A263" w14:textId="505E90E2" w:rsidR="000D6099" w:rsidRDefault="000D6099" w:rsidP="000D6099">
            <w:pPr>
              <w:jc w:val="center"/>
            </w:pPr>
            <w:r>
              <w:t>Closure Activity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386D7FEA" w14:textId="25E4D86B" w:rsidR="000D6099" w:rsidRDefault="000D6099" w:rsidP="000D6099">
            <w:pPr>
              <w:jc w:val="center"/>
            </w:pPr>
            <w:r>
              <w:t>Description</w:t>
            </w:r>
          </w:p>
        </w:tc>
      </w:tr>
      <w:tr w:rsidR="000D6099" w14:paraId="4A04A52B" w14:textId="77777777" w:rsidTr="000D6099">
        <w:tc>
          <w:tcPr>
            <w:tcW w:w="3415" w:type="dxa"/>
            <w:shd w:val="clear" w:color="auto" w:fill="auto"/>
            <w:vAlign w:val="center"/>
          </w:tcPr>
          <w:p w14:paraId="7CF63C0C" w14:textId="3281D1B0" w:rsidR="000D6099" w:rsidRDefault="000D6099" w:rsidP="000D6099">
            <w:r w:rsidRPr="000D6099">
              <w:t>Program Financial Closure</w:t>
            </w:r>
          </w:p>
        </w:tc>
        <w:tc>
          <w:tcPr>
            <w:tcW w:w="6655" w:type="dxa"/>
            <w:shd w:val="clear" w:color="auto" w:fill="auto"/>
          </w:tcPr>
          <w:p w14:paraId="6C8E18AA" w14:textId="77777777" w:rsidR="000D6099" w:rsidRDefault="001208DD" w:rsidP="000D6099">
            <w:pPr>
              <w:pStyle w:val="ListParagraph"/>
              <w:numPr>
                <w:ilvl w:val="0"/>
                <w:numId w:val="1"/>
              </w:numPr>
              <w:ind w:left="346" w:hanging="270"/>
            </w:pPr>
            <w:r>
              <w:t>The planned budget was set at $1.2 million; however, final costs reached $1.25 million—a 4% overrun. This variance was mainly due to additional vendor expenses related to cloud infrastructure improvements.</w:t>
            </w:r>
          </w:p>
          <w:p w14:paraId="0D6A81DD" w14:textId="4547BF99" w:rsidR="001208DD" w:rsidRDefault="001208DD" w:rsidP="001208DD">
            <w:pPr>
              <w:pStyle w:val="ListParagraph"/>
              <w:ind w:left="346"/>
            </w:pPr>
          </w:p>
        </w:tc>
      </w:tr>
      <w:tr w:rsidR="000D6099" w14:paraId="795DE374" w14:textId="77777777" w:rsidTr="000D6099">
        <w:tc>
          <w:tcPr>
            <w:tcW w:w="3415" w:type="dxa"/>
            <w:shd w:val="clear" w:color="auto" w:fill="auto"/>
            <w:vAlign w:val="center"/>
          </w:tcPr>
          <w:p w14:paraId="2F415111" w14:textId="1C7FDAD7" w:rsidR="000D6099" w:rsidRDefault="00D02820" w:rsidP="000D6099">
            <w:r w:rsidRPr="00D02820">
              <w:t>Program Information Archiving and Transition</w:t>
            </w:r>
          </w:p>
        </w:tc>
        <w:tc>
          <w:tcPr>
            <w:tcW w:w="6655" w:type="dxa"/>
          </w:tcPr>
          <w:p w14:paraId="77CFC8F9" w14:textId="70991386" w:rsidR="000D6099" w:rsidRDefault="001208DD" w:rsidP="00D02820">
            <w:pPr>
              <w:pStyle w:val="ListParagraph"/>
              <w:numPr>
                <w:ilvl w:val="0"/>
                <w:numId w:val="2"/>
              </w:numPr>
              <w:ind w:left="346" w:hanging="270"/>
            </w:pPr>
            <w:r>
              <w:t xml:space="preserve">All program-related documentation, including lessons learned, performance reports, contracts, and detailed minutes from stakeholder engagements, </w:t>
            </w:r>
            <w:proofErr w:type="gramStart"/>
            <w:r>
              <w:t>was archived</w:t>
            </w:r>
            <w:proofErr w:type="gramEnd"/>
            <w:r>
              <w:t xml:space="preserve"> in </w:t>
            </w:r>
            <w:proofErr w:type="spellStart"/>
            <w:r>
              <w:t>TechVision’s</w:t>
            </w:r>
            <w:proofErr w:type="spellEnd"/>
            <w:r>
              <w:t xml:space="preserve"> project management system.</w:t>
            </w:r>
          </w:p>
        </w:tc>
      </w:tr>
    </w:tbl>
    <w:p w14:paraId="10366EFF" w14:textId="77777777" w:rsidR="00D02820" w:rsidRDefault="00D028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D02820" w14:paraId="28CCA0B6" w14:textId="77777777" w:rsidTr="000D6099">
        <w:tc>
          <w:tcPr>
            <w:tcW w:w="3415" w:type="dxa"/>
            <w:shd w:val="clear" w:color="auto" w:fill="auto"/>
            <w:vAlign w:val="center"/>
          </w:tcPr>
          <w:p w14:paraId="5A1BC904" w14:textId="6B3CA297" w:rsidR="00D02820" w:rsidRPr="00D02820" w:rsidRDefault="00D02820" w:rsidP="000D6099">
            <w:r>
              <w:lastRenderedPageBreak/>
              <w:t>Program Procurement Closure</w:t>
            </w:r>
          </w:p>
        </w:tc>
        <w:tc>
          <w:tcPr>
            <w:tcW w:w="6655" w:type="dxa"/>
          </w:tcPr>
          <w:p w14:paraId="76FB7BE3" w14:textId="3BE49000" w:rsidR="00D02820" w:rsidRDefault="0000337E" w:rsidP="00D02820">
            <w:pPr>
              <w:pStyle w:val="ListParagraph"/>
              <w:numPr>
                <w:ilvl w:val="0"/>
                <w:numId w:val="2"/>
              </w:numPr>
              <w:ind w:left="436"/>
            </w:pPr>
            <w:r>
              <w:t xml:space="preserve">All procurement activities, including contracts for cloud services, AI tools, and CRM solutions, </w:t>
            </w:r>
            <w:proofErr w:type="gramStart"/>
            <w:r>
              <w:t>have been completed</w:t>
            </w:r>
            <w:proofErr w:type="gramEnd"/>
            <w:r>
              <w:t>.</w:t>
            </w:r>
          </w:p>
        </w:tc>
      </w:tr>
      <w:tr w:rsidR="000D6099" w14:paraId="59385563" w14:textId="77777777" w:rsidTr="000D6099">
        <w:tc>
          <w:tcPr>
            <w:tcW w:w="3415" w:type="dxa"/>
            <w:shd w:val="clear" w:color="auto" w:fill="auto"/>
            <w:vAlign w:val="center"/>
          </w:tcPr>
          <w:p w14:paraId="21EBC1AB" w14:textId="134CF518" w:rsidR="000D6099" w:rsidRDefault="00D02820" w:rsidP="000D6099">
            <w:r>
              <w:br w:type="page"/>
            </w:r>
            <w:r w:rsidRPr="00D02820">
              <w:t>Program Resource Transition</w:t>
            </w:r>
          </w:p>
        </w:tc>
        <w:tc>
          <w:tcPr>
            <w:tcW w:w="6655" w:type="dxa"/>
          </w:tcPr>
          <w:p w14:paraId="6C717F95" w14:textId="07611C7A" w:rsidR="000D6099" w:rsidRDefault="0000337E" w:rsidP="00D02820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Human and technical resources were effectively transitioned post-program.</w:t>
            </w:r>
          </w:p>
        </w:tc>
      </w:tr>
      <w:tr w:rsidR="000D6099" w14:paraId="0F13E031" w14:textId="77777777" w:rsidTr="000D6099">
        <w:tc>
          <w:tcPr>
            <w:tcW w:w="3415" w:type="dxa"/>
            <w:shd w:val="clear" w:color="auto" w:fill="auto"/>
            <w:vAlign w:val="center"/>
          </w:tcPr>
          <w:p w14:paraId="6130A449" w14:textId="7A7B64CF" w:rsidR="000D6099" w:rsidRDefault="00D02820" w:rsidP="000D6099">
            <w:r w:rsidRPr="00D02820">
              <w:t>Program Risk Management Transition</w:t>
            </w:r>
          </w:p>
        </w:tc>
        <w:tc>
          <w:tcPr>
            <w:tcW w:w="6655" w:type="dxa"/>
          </w:tcPr>
          <w:p w14:paraId="221B5EE3" w14:textId="46FED47F" w:rsidR="000D6099" w:rsidRDefault="0000337E" w:rsidP="00D02820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Residual risks—including ongoing CRM integration challenges and cloud security monitoring—</w:t>
            </w:r>
            <w:proofErr w:type="gramStart"/>
            <w:r>
              <w:t>were identified and transitioned</w:t>
            </w:r>
            <w:proofErr w:type="gramEnd"/>
            <w:r>
              <w:t>.</w:t>
            </w:r>
          </w:p>
        </w:tc>
      </w:tr>
    </w:tbl>
    <w:p w14:paraId="3EE312A5" w14:textId="77777777" w:rsidR="000D6099" w:rsidRDefault="000D6099" w:rsidP="000D6099"/>
    <w:p w14:paraId="1164D849" w14:textId="64312D51" w:rsidR="00D02820" w:rsidRPr="0014291C" w:rsidRDefault="00D02820" w:rsidP="000D6099">
      <w:pPr>
        <w:rPr>
          <w:b/>
          <w:bCs/>
        </w:rPr>
      </w:pPr>
      <w:r w:rsidRPr="0014291C">
        <w:rPr>
          <w:b/>
          <w:bCs/>
        </w:rPr>
        <w:t>Part IV: Criteria and Benefits Realization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570"/>
      </w:tblGrid>
      <w:tr w:rsidR="0014291C" w:rsidRPr="00D02820" w14:paraId="45EE8FBA" w14:textId="77777777">
        <w:tc>
          <w:tcPr>
            <w:tcW w:w="3415" w:type="dxa"/>
            <w:shd w:val="clear" w:color="auto" w:fill="D9F2D0" w:themeFill="accent6" w:themeFillTint="33"/>
          </w:tcPr>
          <w:p w14:paraId="17F41C18" w14:textId="6B248C46" w:rsidR="0014291C" w:rsidRPr="00D02820" w:rsidRDefault="0014291C" w:rsidP="0014291C">
            <w:pPr>
              <w:jc w:val="center"/>
            </w:pPr>
            <w:r>
              <w:t>Consideration</w:t>
            </w:r>
          </w:p>
        </w:tc>
        <w:tc>
          <w:tcPr>
            <w:tcW w:w="6570" w:type="dxa"/>
            <w:shd w:val="clear" w:color="auto" w:fill="D9F2D0" w:themeFill="accent6" w:themeFillTint="33"/>
          </w:tcPr>
          <w:p w14:paraId="0AE673A1" w14:textId="74263EF4" w:rsidR="0014291C" w:rsidRPr="00D02820" w:rsidRDefault="0014291C" w:rsidP="0014291C">
            <w:pPr>
              <w:jc w:val="center"/>
            </w:pPr>
            <w:r>
              <w:t>Findings</w:t>
            </w:r>
          </w:p>
        </w:tc>
      </w:tr>
      <w:tr w:rsidR="00D02820" w:rsidRPr="00D02820" w14:paraId="71321B57" w14:textId="4D53F5E0" w:rsidTr="0014291C">
        <w:tc>
          <w:tcPr>
            <w:tcW w:w="3415" w:type="dxa"/>
            <w:vAlign w:val="center"/>
          </w:tcPr>
          <w:p w14:paraId="00AC6883" w14:textId="5500C869" w:rsidR="00D02820" w:rsidRPr="00D02820" w:rsidRDefault="00D02820">
            <w:r w:rsidRPr="00D02820">
              <w:t>Planned Benefits</w:t>
            </w:r>
          </w:p>
        </w:tc>
        <w:tc>
          <w:tcPr>
            <w:tcW w:w="6570" w:type="dxa"/>
          </w:tcPr>
          <w:p w14:paraId="290C6F23" w14:textId="1E15EE7F" w:rsidR="00D02820" w:rsidRPr="00D02820" w:rsidRDefault="007976F6">
            <w:r>
              <w:t xml:space="preserve">- Streamlined recruitment leading to reduced time-to-hire. </w:t>
            </w:r>
            <w:r>
              <w:br/>
              <w:t xml:space="preserve">- Enhanced cloud performance and scalability. </w:t>
            </w:r>
            <w:r>
              <w:br/>
              <w:t>- Improved customer engagement through optimized CRM system integration and automation.</w:t>
            </w:r>
          </w:p>
        </w:tc>
      </w:tr>
      <w:tr w:rsidR="00D02820" w:rsidRPr="00D02820" w14:paraId="51FE7459" w14:textId="5D10669B" w:rsidTr="0014291C">
        <w:tc>
          <w:tcPr>
            <w:tcW w:w="3415" w:type="dxa"/>
            <w:vAlign w:val="center"/>
          </w:tcPr>
          <w:p w14:paraId="2A4FC9D3" w14:textId="1F5F165E" w:rsidR="00D02820" w:rsidRPr="00D02820" w:rsidRDefault="00D02820">
            <w:r w:rsidRPr="00D02820">
              <w:t>Actual Benefits Realized</w:t>
            </w:r>
          </w:p>
        </w:tc>
        <w:tc>
          <w:tcPr>
            <w:tcW w:w="6570" w:type="dxa"/>
          </w:tcPr>
          <w:p w14:paraId="593D40CB" w14:textId="4860F5FA" w:rsidR="00D02820" w:rsidRPr="00D02820" w:rsidRDefault="007976F6">
            <w:r>
              <w:t xml:space="preserve">- 27% reduction in time-to-hire. </w:t>
            </w:r>
            <w:r>
              <w:br/>
              <w:t xml:space="preserve">- 20% improvement in cloud scalability and 22% reduction in downtime. </w:t>
            </w:r>
            <w:r>
              <w:br/>
              <w:t>- 13% increase in customer satisfaction.</w:t>
            </w:r>
          </w:p>
        </w:tc>
      </w:tr>
      <w:tr w:rsidR="00D02820" w14:paraId="22BEA425" w14:textId="1DEB8896" w:rsidTr="0014291C">
        <w:tc>
          <w:tcPr>
            <w:tcW w:w="3415" w:type="dxa"/>
            <w:vAlign w:val="center"/>
          </w:tcPr>
          <w:p w14:paraId="29C26C3A" w14:textId="4FD8B38D" w:rsidR="00D02820" w:rsidRDefault="00D02820">
            <w:r w:rsidRPr="00D02820">
              <w:t>Success Criteria</w:t>
            </w:r>
          </w:p>
        </w:tc>
        <w:tc>
          <w:tcPr>
            <w:tcW w:w="6570" w:type="dxa"/>
          </w:tcPr>
          <w:p w14:paraId="6FE397FD" w14:textId="4BFD31CF" w:rsidR="00D02820" w:rsidRPr="00D02820" w:rsidRDefault="00391A03">
            <w:r>
              <w:t xml:space="preserve">The program’s success </w:t>
            </w:r>
            <w:proofErr w:type="gramStart"/>
            <w:r>
              <w:t>was measured</w:t>
            </w:r>
            <w:proofErr w:type="gramEnd"/>
            <w:r>
              <w:t xml:space="preserve"> by operational efficiency improvements, reliable system performance, and overall stakeholder satisfaction. All criteria </w:t>
            </w:r>
            <w:proofErr w:type="gramStart"/>
            <w:r>
              <w:t>were met</w:t>
            </w:r>
            <w:proofErr w:type="gramEnd"/>
            <w:r>
              <w:t xml:space="preserve"> with only minor variances, confirming the overall success of the initiative.</w:t>
            </w:r>
          </w:p>
        </w:tc>
      </w:tr>
    </w:tbl>
    <w:p w14:paraId="1205E270" w14:textId="253F18F0" w:rsidR="00D02820" w:rsidRDefault="00D02820" w:rsidP="00D02820"/>
    <w:p w14:paraId="28315102" w14:textId="4CDC8433" w:rsidR="0014291C" w:rsidRPr="0014291C" w:rsidRDefault="0014291C" w:rsidP="00D02820">
      <w:pPr>
        <w:rPr>
          <w:b/>
          <w:bCs/>
        </w:rPr>
      </w:pPr>
      <w:r w:rsidRPr="0014291C">
        <w:rPr>
          <w:b/>
          <w:bCs/>
        </w:rPr>
        <w:t>Part V: Lessons Learned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14291C" w14:paraId="2A72D436" w14:textId="77777777" w:rsidTr="0014291C">
        <w:tc>
          <w:tcPr>
            <w:tcW w:w="3415" w:type="dxa"/>
            <w:shd w:val="clear" w:color="auto" w:fill="D9F2D0" w:themeFill="accent6" w:themeFillTint="33"/>
          </w:tcPr>
          <w:p w14:paraId="1DEC241D" w14:textId="37EF962D" w:rsidR="0014291C" w:rsidRDefault="0014291C" w:rsidP="0014291C">
            <w:pPr>
              <w:jc w:val="center"/>
            </w:pPr>
            <w:r>
              <w:t>Consideration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0732299B" w14:textId="3E2ACF74" w:rsidR="0014291C" w:rsidRDefault="0014291C" w:rsidP="0014291C">
            <w:pPr>
              <w:jc w:val="center"/>
            </w:pPr>
            <w:r>
              <w:t>Findings</w:t>
            </w:r>
          </w:p>
        </w:tc>
      </w:tr>
      <w:tr w:rsidR="0014291C" w14:paraId="456D5561" w14:textId="77777777" w:rsidTr="0014291C">
        <w:tc>
          <w:tcPr>
            <w:tcW w:w="3415" w:type="dxa"/>
          </w:tcPr>
          <w:p w14:paraId="1243D83D" w14:textId="7326196F" w:rsidR="0014291C" w:rsidRDefault="0014291C" w:rsidP="00D02820">
            <w:r>
              <w:t>What went well with the program?</w:t>
            </w:r>
          </w:p>
        </w:tc>
        <w:tc>
          <w:tcPr>
            <w:tcW w:w="6655" w:type="dxa"/>
          </w:tcPr>
          <w:p w14:paraId="4FCB4D9D" w14:textId="1350891B" w:rsidR="0014291C" w:rsidRDefault="006E4725" w:rsidP="00D02820">
            <w:r>
              <w:t>- Effective cloud performance improvements and robust recruitment workflow optimizations.</w:t>
            </w:r>
            <w:r>
              <w:br/>
              <w:t>- Successful phased AI training facilitated quick adaptation among early adopters.</w:t>
            </w:r>
          </w:p>
        </w:tc>
      </w:tr>
      <w:tr w:rsidR="0014291C" w14:paraId="6D4430CF" w14:textId="77777777" w:rsidTr="0014291C">
        <w:tc>
          <w:tcPr>
            <w:tcW w:w="3415" w:type="dxa"/>
          </w:tcPr>
          <w:p w14:paraId="0E713FCF" w14:textId="7C304146" w:rsidR="0014291C" w:rsidRDefault="0014291C" w:rsidP="00D02820">
            <w:r>
              <w:t xml:space="preserve">What </w:t>
            </w:r>
            <w:proofErr w:type="gramStart"/>
            <w:r>
              <w:t>could have been improved</w:t>
            </w:r>
            <w:proofErr w:type="gramEnd"/>
            <w:r>
              <w:t>?</w:t>
            </w:r>
          </w:p>
        </w:tc>
        <w:tc>
          <w:tcPr>
            <w:tcW w:w="6655" w:type="dxa"/>
          </w:tcPr>
          <w:p w14:paraId="29A9AC50" w14:textId="4A98A52B" w:rsidR="0014291C" w:rsidRDefault="006E4725" w:rsidP="00D02820">
            <w:r>
              <w:t>- More rigorous vendor management to mitigate delays, especially for cloud services.</w:t>
            </w:r>
            <w:r>
              <w:br/>
              <w:t>- Earlier allocation of resources for CRM integration testing to reduce integration challenges with legacy systems.</w:t>
            </w:r>
          </w:p>
        </w:tc>
      </w:tr>
      <w:tr w:rsidR="0014291C" w14:paraId="250CA5CD" w14:textId="77777777" w:rsidTr="0014291C">
        <w:tc>
          <w:tcPr>
            <w:tcW w:w="3415" w:type="dxa"/>
          </w:tcPr>
          <w:p w14:paraId="6C11546E" w14:textId="6A1D11B0" w:rsidR="0014291C" w:rsidRDefault="0014291C" w:rsidP="00D02820">
            <w:r>
              <w:t xml:space="preserve">What solutions </w:t>
            </w:r>
            <w:proofErr w:type="gramStart"/>
            <w:r>
              <w:t>are recommended</w:t>
            </w:r>
            <w:proofErr w:type="gramEnd"/>
            <w:r>
              <w:t>?</w:t>
            </w:r>
          </w:p>
        </w:tc>
        <w:tc>
          <w:tcPr>
            <w:tcW w:w="6655" w:type="dxa"/>
          </w:tcPr>
          <w:p w14:paraId="6FE0FB11" w14:textId="5AAF4193" w:rsidR="0014291C" w:rsidRDefault="00C511C1" w:rsidP="00D02820">
            <w:r>
              <w:t xml:space="preserve">- Future programs should implement stricter vendor management protocols and allocate additional time and resources for early integration testing. </w:t>
            </w:r>
            <w:r>
              <w:br/>
            </w:r>
            <w:r>
              <w:lastRenderedPageBreak/>
              <w:t>- Enhance cross-department communication early in the project cycle.</w:t>
            </w:r>
          </w:p>
        </w:tc>
      </w:tr>
    </w:tbl>
    <w:p w14:paraId="4B430C17" w14:textId="30A653A0" w:rsidR="0014291C" w:rsidRDefault="0014291C">
      <w:pPr>
        <w:rPr>
          <w:b/>
          <w:bCs/>
        </w:rPr>
      </w:pPr>
    </w:p>
    <w:p w14:paraId="291A4C31" w14:textId="7FFDEB91" w:rsidR="0014291C" w:rsidRPr="0014291C" w:rsidRDefault="0014291C" w:rsidP="00D02820">
      <w:pPr>
        <w:rPr>
          <w:b/>
          <w:bCs/>
        </w:rPr>
      </w:pPr>
      <w:r w:rsidRPr="0014291C">
        <w:rPr>
          <w:b/>
          <w:bCs/>
        </w:rPr>
        <w:t>Part VI: Stakeholder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14291C" w14:paraId="427577DF" w14:textId="77777777" w:rsidTr="0014291C">
        <w:tc>
          <w:tcPr>
            <w:tcW w:w="3415" w:type="dxa"/>
            <w:shd w:val="clear" w:color="auto" w:fill="D9F2D0" w:themeFill="accent6" w:themeFillTint="33"/>
          </w:tcPr>
          <w:p w14:paraId="4F7B08E8" w14:textId="2832D992" w:rsidR="0014291C" w:rsidRDefault="0014291C" w:rsidP="0014291C">
            <w:pPr>
              <w:jc w:val="center"/>
            </w:pPr>
            <w:r>
              <w:t>Consideration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3E118DB0" w14:textId="41D16D7C" w:rsidR="0014291C" w:rsidRDefault="0014291C" w:rsidP="0014291C">
            <w:pPr>
              <w:jc w:val="center"/>
            </w:pPr>
            <w:r>
              <w:t>Findings</w:t>
            </w:r>
          </w:p>
        </w:tc>
      </w:tr>
      <w:tr w:rsidR="0014291C" w14:paraId="326E3F47" w14:textId="77777777" w:rsidTr="0014291C">
        <w:tc>
          <w:tcPr>
            <w:tcW w:w="3415" w:type="dxa"/>
            <w:vAlign w:val="center"/>
          </w:tcPr>
          <w:p w14:paraId="643F116C" w14:textId="6AB57A1E" w:rsidR="0014291C" w:rsidRDefault="0014291C" w:rsidP="0014291C">
            <w:r>
              <w:t>Key Stakeholder Satisfaction</w:t>
            </w:r>
          </w:p>
          <w:p w14:paraId="2F84852C" w14:textId="1A6217C6" w:rsidR="0014291C" w:rsidRDefault="0014291C" w:rsidP="0014291C"/>
        </w:tc>
        <w:tc>
          <w:tcPr>
            <w:tcW w:w="6655" w:type="dxa"/>
          </w:tcPr>
          <w:p w14:paraId="09F5B6B0" w14:textId="1F8EE53A" w:rsidR="0014291C" w:rsidRDefault="0069352B" w:rsidP="00D02820">
            <w:r>
              <w:t>- The Executive Sponsor and key department heads expressed overall satisfaction with the program’s outcomes.</w:t>
            </w:r>
            <w:r>
              <w:br/>
              <w:t>- HR Director acknowledged the positive impact of improved recruitment processes.</w:t>
            </w:r>
            <w:r>
              <w:br/>
              <w:t>- IT Director noted significant enhancements in cloud performance.</w:t>
            </w:r>
            <w:r>
              <w:br/>
              <w:t>- Sales Director recommended continued support for CRM integrations.</w:t>
            </w:r>
          </w:p>
        </w:tc>
      </w:tr>
      <w:tr w:rsidR="0014291C" w14:paraId="7D72F82E" w14:textId="77777777" w:rsidTr="0014291C">
        <w:tc>
          <w:tcPr>
            <w:tcW w:w="3415" w:type="dxa"/>
            <w:vAlign w:val="center"/>
          </w:tcPr>
          <w:p w14:paraId="4A7E4941" w14:textId="6509DE90" w:rsidR="0014291C" w:rsidRDefault="0014291C" w:rsidP="00D02820">
            <w:r>
              <w:t>Stakeholder Review</w:t>
            </w:r>
          </w:p>
        </w:tc>
        <w:tc>
          <w:tcPr>
            <w:tcW w:w="6655" w:type="dxa"/>
          </w:tcPr>
          <w:p w14:paraId="69CD20DF" w14:textId="15D9B8FA" w:rsidR="0014291C" w:rsidRDefault="0069352B" w:rsidP="00D02820">
            <w:r>
              <w:t>- Final stakeholder review meetings were conducted on September 28, 20XX, where all major deliverables were reviewed and approved, ensuring alignment with organizational goals.</w:t>
            </w:r>
          </w:p>
        </w:tc>
      </w:tr>
    </w:tbl>
    <w:p w14:paraId="0BE26042" w14:textId="77777777" w:rsidR="0014291C" w:rsidRDefault="0014291C" w:rsidP="00D02820"/>
    <w:p w14:paraId="68E4BF85" w14:textId="7605FDC3" w:rsidR="0014291C" w:rsidRPr="0014291C" w:rsidRDefault="0014291C" w:rsidP="00D02820">
      <w:pPr>
        <w:rPr>
          <w:b/>
          <w:bCs/>
        </w:rPr>
      </w:pPr>
      <w:r w:rsidRPr="0014291C">
        <w:rPr>
          <w:b/>
          <w:bCs/>
        </w:rPr>
        <w:t>Part VII: Action Items-Post Closure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14291C" w14:paraId="65123CBF" w14:textId="77777777" w:rsidTr="0014291C">
        <w:tc>
          <w:tcPr>
            <w:tcW w:w="3415" w:type="dxa"/>
            <w:shd w:val="clear" w:color="auto" w:fill="D9F2D0" w:themeFill="accent6" w:themeFillTint="33"/>
          </w:tcPr>
          <w:p w14:paraId="2AFD5A8B" w14:textId="011BDA4C" w:rsidR="0014291C" w:rsidRDefault="0014291C" w:rsidP="0014291C">
            <w:pPr>
              <w:jc w:val="center"/>
            </w:pPr>
            <w:r w:rsidRPr="00612F37">
              <w:t>Consideration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54874942" w14:textId="53DED7F9" w:rsidR="0014291C" w:rsidRDefault="0014291C" w:rsidP="0014291C">
            <w:pPr>
              <w:jc w:val="center"/>
            </w:pPr>
            <w:r>
              <w:t>Action Items</w:t>
            </w:r>
          </w:p>
        </w:tc>
      </w:tr>
      <w:tr w:rsidR="0014291C" w14:paraId="66D97142" w14:textId="77777777" w:rsidTr="0014291C">
        <w:tc>
          <w:tcPr>
            <w:tcW w:w="3415" w:type="dxa"/>
            <w:vAlign w:val="center"/>
          </w:tcPr>
          <w:p w14:paraId="09F32A46" w14:textId="015C5F45" w:rsidR="0014291C" w:rsidRDefault="0014291C" w:rsidP="0014291C">
            <w:r>
              <w:t>Unfinished Deliverables</w:t>
            </w:r>
          </w:p>
          <w:p w14:paraId="07B14814" w14:textId="4059931A" w:rsidR="0014291C" w:rsidRDefault="0014291C" w:rsidP="0014291C"/>
        </w:tc>
        <w:tc>
          <w:tcPr>
            <w:tcW w:w="6655" w:type="dxa"/>
          </w:tcPr>
          <w:p w14:paraId="3726CED4" w14:textId="474B712E" w:rsidR="0014291C" w:rsidRDefault="006D56C4" w:rsidP="00D02820">
            <w:r>
              <w:t>- Continued monitoring and iterative improvements for CRM integration. Assigned to the IT department, with periodic review meetings scheduled.</w:t>
            </w:r>
          </w:p>
        </w:tc>
      </w:tr>
      <w:tr w:rsidR="0014291C" w14:paraId="31E99225" w14:textId="77777777" w:rsidTr="0014291C">
        <w:tc>
          <w:tcPr>
            <w:tcW w:w="3415" w:type="dxa"/>
            <w:vAlign w:val="center"/>
          </w:tcPr>
          <w:p w14:paraId="3EDACD70" w14:textId="79B4EE18" w:rsidR="0014291C" w:rsidRDefault="0014291C" w:rsidP="00D02820">
            <w:r>
              <w:t>Open Risks or Issues</w:t>
            </w:r>
          </w:p>
        </w:tc>
        <w:tc>
          <w:tcPr>
            <w:tcW w:w="6655" w:type="dxa"/>
          </w:tcPr>
          <w:p w14:paraId="6B082112" w14:textId="614D21BC" w:rsidR="0014291C" w:rsidRDefault="006D56C4" w:rsidP="0014291C">
            <w:r>
              <w:t xml:space="preserve">- Residual risk with CRM integration and ongoing cloud security monitoring remain. These issues </w:t>
            </w:r>
            <w:proofErr w:type="gramStart"/>
            <w:r>
              <w:t>will be monitored</w:t>
            </w:r>
            <w:proofErr w:type="gramEnd"/>
            <w:r>
              <w:t xml:space="preserve"> by IT, with regular updates provided to senior management.</w:t>
            </w:r>
          </w:p>
        </w:tc>
      </w:tr>
      <w:tr w:rsidR="0014291C" w14:paraId="0BE45A39" w14:textId="77777777" w:rsidTr="0014291C">
        <w:tc>
          <w:tcPr>
            <w:tcW w:w="3415" w:type="dxa"/>
            <w:vAlign w:val="center"/>
          </w:tcPr>
          <w:p w14:paraId="689870C7" w14:textId="53D57E42" w:rsidR="0014291C" w:rsidRDefault="0014291C" w:rsidP="00D02820">
            <w:r>
              <w:t>Future Recommendations</w:t>
            </w:r>
          </w:p>
        </w:tc>
        <w:tc>
          <w:tcPr>
            <w:tcW w:w="6655" w:type="dxa"/>
          </w:tcPr>
          <w:p w14:paraId="3B2B6C3E" w14:textId="1AFA2ECA" w:rsidR="0014291C" w:rsidRDefault="006D56C4" w:rsidP="00D02820">
            <w:r>
              <w:t>- Implement enhanced vendor management and early testing protocols in future digital transformation programs.</w:t>
            </w:r>
            <w:r>
              <w:br/>
              <w:t>- Maintain open channels between departments to quickly address integration challenges and ensure early adoption of new technologies.</w:t>
            </w:r>
          </w:p>
        </w:tc>
      </w:tr>
    </w:tbl>
    <w:p w14:paraId="60B05189" w14:textId="77777777" w:rsidR="0014291C" w:rsidRDefault="0014291C" w:rsidP="00D02820"/>
    <w:p w14:paraId="38E5C887" w14:textId="56EFBE85" w:rsidR="00CE39C2" w:rsidRPr="00CE39C2" w:rsidRDefault="00CE39C2" w:rsidP="00CE39C2">
      <w:pPr>
        <w:rPr>
          <w:b/>
          <w:bCs/>
        </w:rPr>
      </w:pPr>
      <w:r w:rsidRPr="00CE39C2">
        <w:rPr>
          <w:b/>
          <w:bCs/>
        </w:rPr>
        <w:t>Part VIII: Final Approvals and Sign-offs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3347"/>
        <w:gridCol w:w="3335"/>
      </w:tblGrid>
      <w:tr w:rsidR="00CE39C2" w:rsidRPr="00CE39C2" w14:paraId="79E8DAB1" w14:textId="77777777" w:rsidTr="00CE39C2">
        <w:tc>
          <w:tcPr>
            <w:tcW w:w="3388" w:type="dxa"/>
            <w:shd w:val="clear" w:color="auto" w:fill="D9F2D0" w:themeFill="accent6" w:themeFillTint="33"/>
          </w:tcPr>
          <w:p w14:paraId="4F70272D" w14:textId="5B6D1F6B" w:rsidR="00CE39C2" w:rsidRPr="00CE39C2" w:rsidRDefault="00CE39C2" w:rsidP="00CE39C2">
            <w:pPr>
              <w:jc w:val="center"/>
            </w:pPr>
            <w:r>
              <w:t>Stakeholder</w:t>
            </w:r>
          </w:p>
        </w:tc>
        <w:tc>
          <w:tcPr>
            <w:tcW w:w="3347" w:type="dxa"/>
            <w:shd w:val="clear" w:color="auto" w:fill="D9F2D0" w:themeFill="accent6" w:themeFillTint="33"/>
          </w:tcPr>
          <w:p w14:paraId="1C9BB614" w14:textId="38216486" w:rsidR="00CE39C2" w:rsidRDefault="00CE39C2" w:rsidP="00CE39C2">
            <w:pPr>
              <w:jc w:val="center"/>
            </w:pPr>
            <w:r>
              <w:t>Date</w:t>
            </w:r>
          </w:p>
        </w:tc>
        <w:tc>
          <w:tcPr>
            <w:tcW w:w="3335" w:type="dxa"/>
            <w:shd w:val="clear" w:color="auto" w:fill="D9F2D0" w:themeFill="accent6" w:themeFillTint="33"/>
          </w:tcPr>
          <w:p w14:paraId="1CA4D0BE" w14:textId="2B437ED9" w:rsidR="00CE39C2" w:rsidRDefault="00CE39C2" w:rsidP="00CE39C2">
            <w:pPr>
              <w:jc w:val="center"/>
            </w:pPr>
            <w:r>
              <w:t>Verification</w:t>
            </w:r>
          </w:p>
        </w:tc>
      </w:tr>
      <w:tr w:rsidR="00CE39C2" w:rsidRPr="00CE39C2" w14:paraId="78B7DB0B" w14:textId="6ADC6799" w:rsidTr="00CE39C2">
        <w:tc>
          <w:tcPr>
            <w:tcW w:w="3388" w:type="dxa"/>
          </w:tcPr>
          <w:p w14:paraId="0D39AD3E" w14:textId="0644D3BC" w:rsidR="00CE39C2" w:rsidRPr="00CE39C2" w:rsidRDefault="00CE39C2">
            <w:r w:rsidRPr="00CE39C2">
              <w:t>Program Manager Approval</w:t>
            </w:r>
          </w:p>
        </w:tc>
        <w:tc>
          <w:tcPr>
            <w:tcW w:w="3347" w:type="dxa"/>
          </w:tcPr>
          <w:p w14:paraId="25D852E7" w14:textId="58BEEE2A" w:rsidR="00CE39C2" w:rsidRPr="00CE39C2" w:rsidRDefault="009B515C">
            <w:r>
              <w:t>September 30, 20XX</w:t>
            </w:r>
          </w:p>
        </w:tc>
        <w:tc>
          <w:tcPr>
            <w:tcW w:w="3335" w:type="dxa"/>
          </w:tcPr>
          <w:p w14:paraId="247F3F89" w14:textId="04CC45A7" w:rsidR="00CE39C2" w:rsidRDefault="009B515C">
            <w:r>
              <w:t>Sign-Off Received</w:t>
            </w:r>
          </w:p>
        </w:tc>
      </w:tr>
      <w:tr w:rsidR="00CE39C2" w:rsidRPr="00CE39C2" w14:paraId="03C1B1F9" w14:textId="40B5346D" w:rsidTr="00CE39C2">
        <w:tc>
          <w:tcPr>
            <w:tcW w:w="3388" w:type="dxa"/>
          </w:tcPr>
          <w:p w14:paraId="405B25B0" w14:textId="357AAE3F" w:rsidR="00CE39C2" w:rsidRPr="00CE39C2" w:rsidRDefault="00CE39C2" w:rsidP="00CE39C2">
            <w:r w:rsidRPr="00CE39C2">
              <w:t>Executive Sponsor Approval</w:t>
            </w:r>
          </w:p>
        </w:tc>
        <w:tc>
          <w:tcPr>
            <w:tcW w:w="3347" w:type="dxa"/>
          </w:tcPr>
          <w:p w14:paraId="1FBC896D" w14:textId="4E5C560B" w:rsidR="00CE39C2" w:rsidRPr="00CE39C2" w:rsidRDefault="009B515C" w:rsidP="00CE39C2">
            <w:r>
              <w:t>September 30, 20XX</w:t>
            </w:r>
          </w:p>
        </w:tc>
        <w:tc>
          <w:tcPr>
            <w:tcW w:w="3335" w:type="dxa"/>
          </w:tcPr>
          <w:p w14:paraId="02A90248" w14:textId="56B9544B" w:rsidR="00CE39C2" w:rsidRPr="00CE39C2" w:rsidRDefault="009B515C" w:rsidP="00CE39C2">
            <w:r>
              <w:t>Sign-Off Received</w:t>
            </w:r>
          </w:p>
        </w:tc>
      </w:tr>
      <w:tr w:rsidR="00CE39C2" w14:paraId="6BD9439F" w14:textId="28C93EFA" w:rsidTr="00CE39C2">
        <w:tc>
          <w:tcPr>
            <w:tcW w:w="3388" w:type="dxa"/>
          </w:tcPr>
          <w:p w14:paraId="38D5598D" w14:textId="20BEAB7F" w:rsidR="00CE39C2" w:rsidRDefault="00CE39C2" w:rsidP="00CE39C2">
            <w:r w:rsidRPr="00CE39C2">
              <w:t>Other Key Stakeholder Sign-offs (if required)</w:t>
            </w:r>
          </w:p>
        </w:tc>
        <w:tc>
          <w:tcPr>
            <w:tcW w:w="3347" w:type="dxa"/>
          </w:tcPr>
          <w:p w14:paraId="1C1AC728" w14:textId="2230705B" w:rsidR="00CE39C2" w:rsidRPr="00CE39C2" w:rsidRDefault="009B515C" w:rsidP="00CE39C2">
            <w:r>
              <w:t>September 30, 20XX</w:t>
            </w:r>
          </w:p>
        </w:tc>
        <w:tc>
          <w:tcPr>
            <w:tcW w:w="3335" w:type="dxa"/>
          </w:tcPr>
          <w:p w14:paraId="4B81C6DA" w14:textId="0B09BAD8" w:rsidR="00CE39C2" w:rsidRPr="00CE39C2" w:rsidRDefault="009B515C" w:rsidP="00CE39C2">
            <w:r>
              <w:t>Sign-Off Received</w:t>
            </w:r>
            <w:bookmarkStart w:id="0" w:name="_GoBack"/>
            <w:bookmarkEnd w:id="0"/>
          </w:p>
        </w:tc>
      </w:tr>
    </w:tbl>
    <w:p w14:paraId="0F0B96DC" w14:textId="39BFC6C8" w:rsidR="00CE39C2" w:rsidRDefault="00CE39C2" w:rsidP="00CE39C2"/>
    <w:sectPr w:rsidR="00CE39C2" w:rsidSect="000D6099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E12F5" w14:textId="77777777" w:rsidR="00B16419" w:rsidRDefault="00B16419" w:rsidP="00085362">
      <w:pPr>
        <w:spacing w:after="0" w:line="240" w:lineRule="auto"/>
      </w:pPr>
      <w:r>
        <w:separator/>
      </w:r>
    </w:p>
  </w:endnote>
  <w:endnote w:type="continuationSeparator" w:id="0">
    <w:p w14:paraId="673F3344" w14:textId="77777777" w:rsidR="00B16419" w:rsidRDefault="00B16419" w:rsidP="0008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B7345" w14:textId="77777777" w:rsidR="00B16419" w:rsidRDefault="00B16419" w:rsidP="00085362">
      <w:pPr>
        <w:spacing w:after="0" w:line="240" w:lineRule="auto"/>
      </w:pPr>
      <w:r>
        <w:separator/>
      </w:r>
    </w:p>
  </w:footnote>
  <w:footnote w:type="continuationSeparator" w:id="0">
    <w:p w14:paraId="4BFCEEA0" w14:textId="77777777" w:rsidR="00B16419" w:rsidRDefault="00B16419" w:rsidP="0008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F58A3" w14:textId="00496D8D" w:rsidR="00085362" w:rsidRDefault="00085362" w:rsidP="00085362">
    <w:pPr>
      <w:pStyle w:val="Header"/>
    </w:pPr>
    <w:r>
      <w:rPr>
        <w:noProof/>
        <w:lang w:val="en-MY" w:eastAsia="en-MY"/>
      </w:rPr>
      <w:drawing>
        <wp:inline distT="0" distB="0" distL="0" distR="0" wp14:anchorId="1BFC6B87" wp14:editId="3DB5E174">
          <wp:extent cx="1440000" cy="495000"/>
          <wp:effectExtent l="0" t="0" r="0" b="635"/>
          <wp:docPr id="559286505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9286505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9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76B95E" w14:textId="16AE8893" w:rsidR="00085362" w:rsidRPr="00085362" w:rsidRDefault="007074AD" w:rsidP="00085362">
    <w:pPr>
      <w:pStyle w:val="Heading1"/>
      <w:jc w:val="center"/>
    </w:pPr>
    <w:r>
      <w:t>Program Closure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1514"/>
    <w:multiLevelType w:val="hybridMultilevel"/>
    <w:tmpl w:val="CD46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876A7"/>
    <w:multiLevelType w:val="hybridMultilevel"/>
    <w:tmpl w:val="8538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370B1"/>
    <w:multiLevelType w:val="hybridMultilevel"/>
    <w:tmpl w:val="F6BA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671CF"/>
    <w:multiLevelType w:val="hybridMultilevel"/>
    <w:tmpl w:val="B884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99"/>
    <w:rsid w:val="0000337E"/>
    <w:rsid w:val="00040972"/>
    <w:rsid w:val="00085362"/>
    <w:rsid w:val="000D6099"/>
    <w:rsid w:val="00110517"/>
    <w:rsid w:val="001208DD"/>
    <w:rsid w:val="0014291C"/>
    <w:rsid w:val="00391A03"/>
    <w:rsid w:val="0043217C"/>
    <w:rsid w:val="004561F1"/>
    <w:rsid w:val="00540E21"/>
    <w:rsid w:val="005A3162"/>
    <w:rsid w:val="005D64A6"/>
    <w:rsid w:val="00645298"/>
    <w:rsid w:val="0069352B"/>
    <w:rsid w:val="006C27B2"/>
    <w:rsid w:val="006D56C4"/>
    <w:rsid w:val="006E4725"/>
    <w:rsid w:val="007074AD"/>
    <w:rsid w:val="007976F6"/>
    <w:rsid w:val="00905BFC"/>
    <w:rsid w:val="009477E7"/>
    <w:rsid w:val="009964EF"/>
    <w:rsid w:val="009B515C"/>
    <w:rsid w:val="009F3CD3"/>
    <w:rsid w:val="00B16419"/>
    <w:rsid w:val="00B53D2B"/>
    <w:rsid w:val="00BC0492"/>
    <w:rsid w:val="00C511C1"/>
    <w:rsid w:val="00CE39C2"/>
    <w:rsid w:val="00D02820"/>
    <w:rsid w:val="00DF3A37"/>
    <w:rsid w:val="00E75C5B"/>
    <w:rsid w:val="00EE0EAD"/>
    <w:rsid w:val="00F12A84"/>
    <w:rsid w:val="00FE381D"/>
    <w:rsid w:val="00FE41A7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0D8AE"/>
  <w15:chartTrackingRefBased/>
  <w15:docId w15:val="{FC76D701-DEE1-4DF0-8076-6BDE27BB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62"/>
  </w:style>
  <w:style w:type="paragraph" w:styleId="Footer">
    <w:name w:val="footer"/>
    <w:basedOn w:val="Normal"/>
    <w:link w:val="FooterChar"/>
    <w:uiPriority w:val="99"/>
    <w:unhideWhenUsed/>
    <w:rsid w:val="0008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62"/>
  </w:style>
  <w:style w:type="character" w:styleId="Strong">
    <w:name w:val="Strong"/>
    <w:basedOn w:val="DefaultParagraphFont"/>
    <w:uiPriority w:val="22"/>
    <w:qFormat/>
    <w:rsid w:val="00432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23</cp:revision>
  <cp:lastPrinted>2025-04-09T01:29:00Z</cp:lastPrinted>
  <dcterms:created xsi:type="dcterms:W3CDTF">2024-09-23T17:40:00Z</dcterms:created>
  <dcterms:modified xsi:type="dcterms:W3CDTF">2025-04-09T01:32:00Z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30a09fd2f0f6cea22ca357428d1099b05f20251708092343bcc3d1122f779c2e</vt:lpwstr>
  </property>
</Properties>
</file>