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2066" w:rsidRDefault="00000000" w14:paraId="69079082" w14:textId="77777777">
      <w:pPr>
        <w:spacing w:after="40"/>
      </w:pPr>
      <w:r>
        <w:rPr>
          <w:b/>
          <w:bCs/>
          <w:color w:val="1F3864"/>
          <w:sz w:val="34"/>
          <w:szCs w:val="34"/>
        </w:rPr>
        <w:t>Quantifying Objection Handling Success</w:t>
      </w:r>
    </w:p>
    <w:p w:rsidR="004E2066" w:rsidRDefault="00000000" w14:paraId="69079083" w14:textId="77777777">
      <w:pPr>
        <w:spacing w:after="220"/>
      </w:pPr>
      <w:r>
        <w:rPr>
          <w:i/>
          <w:iCs/>
          <w:color w:val="2E74B5"/>
          <w:sz w:val="21"/>
          <w:szCs w:val="21"/>
        </w:rPr>
        <w:t>Downloadable Resource | Module 2 Lesson 2</w:t>
      </w:r>
    </w:p>
    <w:p w:rsidR="004E2066" w:rsidRDefault="00000000" w14:paraId="69079084" w14:textId="77777777">
      <w:pPr>
        <w:spacing w:before="300" w:after="120"/>
      </w:pPr>
      <w:r>
        <w:rPr>
          <w:b/>
          <w:bCs/>
          <w:color w:val="1F3864"/>
          <w:sz w:val="26"/>
          <w:szCs w:val="26"/>
        </w:rPr>
        <w:t>Learning Objectives</w:t>
      </w:r>
    </w:p>
    <w:p w:rsidR="004E2066" w:rsidRDefault="00000000" w14:paraId="69079085" w14:textId="77777777">
      <w:pPr>
        <w:spacing w:after="150" w:line="276" w:lineRule="auto"/>
      </w:pPr>
      <w:r>
        <w:t>After reading this resource, you will be able to:</w:t>
      </w:r>
    </w:p>
    <w:p w:rsidR="50C51EF7" w:rsidP="73DCA9FF" w:rsidRDefault="50C51EF7" w14:paraId="7C3F8E65" w14:textId="39E4C2AA">
      <w:pPr>
        <w:pStyle w:val="Normal"/>
        <w:numPr>
          <w:ilvl w:val="0"/>
          <w:numId w:val="2"/>
        </w:numPr>
        <w:spacing w:after="100" w:line="276" w:lineRule="auto"/>
        <w:rPr>
          <w:b w:val="0"/>
          <w:bCs w:val="0"/>
          <w:noProof w:val="0"/>
          <w:lang w:val="en-IN"/>
        </w:rPr>
      </w:pPr>
      <w:r w:rsidRPr="73DCA9FF" w:rsidR="50C51EF7">
        <w:rPr>
          <w:b w:val="0"/>
          <w:bCs w:val="0"/>
          <w:noProof w:val="0"/>
          <w:lang w:val="en-IN"/>
        </w:rPr>
        <w:t>Explain</w:t>
      </w:r>
      <w:r w:rsidRPr="73DCA9FF" w:rsidR="50C51EF7">
        <w:rPr>
          <w:b w:val="0"/>
          <w:bCs w:val="0"/>
          <w:noProof w:val="0"/>
          <w:lang w:val="en-IN"/>
        </w:rPr>
        <w:t xml:space="preserve"> how the cost of inaction and return on investment help address price objections. </w:t>
      </w:r>
    </w:p>
    <w:p w:rsidR="50C51EF7" w:rsidP="73DCA9FF" w:rsidRDefault="50C51EF7" w14:paraId="04D06291" w14:textId="756B6089">
      <w:pPr>
        <w:pStyle w:val="Normal"/>
        <w:numPr>
          <w:ilvl w:val="0"/>
          <w:numId w:val="2"/>
        </w:numPr>
        <w:spacing w:after="100" w:line="276" w:lineRule="auto"/>
        <w:rPr>
          <w:b w:val="0"/>
          <w:bCs w:val="0"/>
          <w:noProof w:val="0"/>
          <w:lang w:val="en-IN"/>
        </w:rPr>
      </w:pPr>
      <w:r w:rsidRPr="73DCA9FF" w:rsidR="50C51EF7">
        <w:rPr>
          <w:b w:val="0"/>
          <w:bCs w:val="0"/>
          <w:noProof w:val="0"/>
          <w:lang w:val="en-IN"/>
        </w:rPr>
        <w:t>Describe</w:t>
      </w:r>
      <w:r w:rsidRPr="73DCA9FF" w:rsidR="50C51EF7">
        <w:rPr>
          <w:b w:val="0"/>
          <w:bCs w:val="0"/>
          <w:noProof w:val="0"/>
          <w:lang w:val="en-IN"/>
        </w:rPr>
        <w:t xml:space="preserve"> how value stacking and amortization make a price feel proportionate. </w:t>
      </w:r>
    </w:p>
    <w:p w:rsidR="50C51EF7" w:rsidP="73DCA9FF" w:rsidRDefault="50C51EF7" w14:paraId="2868692A" w14:textId="561A2AD5">
      <w:pPr>
        <w:pStyle w:val="ListParagraph"/>
        <w:numPr>
          <w:ilvl w:val="0"/>
          <w:numId w:val="2"/>
        </w:numPr>
        <w:spacing w:before="0" w:beforeAutospacing="off" w:after="0" w:afterAutospacing="off"/>
        <w:rPr>
          <w:b w:val="0"/>
          <w:bCs w:val="0"/>
          <w:noProof w:val="0"/>
          <w:lang w:val="en-IN"/>
        </w:rPr>
      </w:pPr>
      <w:r w:rsidRPr="73DCA9FF" w:rsidR="50C51EF7">
        <w:rPr>
          <w:b w:val="0"/>
          <w:bCs w:val="0"/>
          <w:noProof w:val="0"/>
          <w:lang w:val="en-IN"/>
        </w:rPr>
        <w:t>Explain</w:t>
      </w:r>
      <w:r w:rsidRPr="73DCA9FF" w:rsidR="50C51EF7">
        <w:rPr>
          <w:b w:val="0"/>
          <w:bCs w:val="0"/>
          <w:noProof w:val="0"/>
          <w:lang w:val="en-IN"/>
        </w:rPr>
        <w:t xml:space="preserve"> how an objection log helps record objections and responses over time. </w:t>
      </w:r>
    </w:p>
    <w:p w:rsidR="50C51EF7" w:rsidP="73DCA9FF" w:rsidRDefault="50C51EF7" w14:paraId="27A1DBD2" w14:textId="0C7DF734">
      <w:pPr>
        <w:pStyle w:val="ListParagraph"/>
        <w:numPr>
          <w:ilvl w:val="0"/>
          <w:numId w:val="2"/>
        </w:numPr>
        <w:spacing w:before="0" w:beforeAutospacing="off" w:after="0" w:afterAutospacing="off"/>
        <w:rPr>
          <w:b w:val="0"/>
          <w:bCs w:val="0"/>
          <w:noProof w:val="0"/>
          <w:lang w:val="en-IN"/>
        </w:rPr>
      </w:pPr>
      <w:r w:rsidRPr="73DCA9FF" w:rsidR="50C51EF7">
        <w:rPr>
          <w:b w:val="0"/>
          <w:bCs w:val="0"/>
          <w:noProof w:val="0"/>
          <w:lang w:val="en-IN"/>
        </w:rPr>
        <w:t>Describe</w:t>
      </w:r>
      <w:r w:rsidRPr="73DCA9FF" w:rsidR="50C51EF7">
        <w:rPr>
          <w:b w:val="0"/>
          <w:bCs w:val="0"/>
          <w:noProof w:val="0"/>
          <w:lang w:val="en-IN"/>
        </w:rPr>
        <w:t xml:space="preserve"> how simple performance metrics can be used to evaluate objection-handling effectiveness. </w:t>
      </w:r>
    </w:p>
    <w:p w:rsidR="5B93D8CD" w:rsidP="73DCA9FF" w:rsidRDefault="5B93D8CD" w14:paraId="06CF706C" w14:textId="2F4A452B">
      <w:pPr>
        <w:pStyle w:val="ListParagraph"/>
        <w:numPr>
          <w:ilvl w:val="0"/>
          <w:numId w:val="2"/>
        </w:numPr>
        <w:spacing w:before="0" w:beforeAutospacing="off" w:after="0" w:afterAutospacing="off"/>
        <w:rPr>
          <w:b w:val="0"/>
          <w:bCs w:val="0"/>
          <w:noProof w:val="0"/>
          <w:lang w:val="en-IN"/>
        </w:rPr>
      </w:pPr>
      <w:r w:rsidRPr="73DCA9FF" w:rsidR="5B93D8CD">
        <w:rPr>
          <w:b w:val="0"/>
          <w:bCs w:val="0"/>
          <w:noProof w:val="0"/>
          <w:lang w:val="en-IN"/>
        </w:rPr>
        <w:t>Describe how objection-tracking data supports continuous improvement.</w:t>
      </w:r>
    </w:p>
    <w:p w:rsidR="73DCA9FF" w:rsidP="73DCA9FF" w:rsidRDefault="73DCA9FF" w14:paraId="6D9AC01F" w14:textId="2B01C365">
      <w:pPr>
        <w:pStyle w:val="ListParagraph"/>
        <w:spacing w:after="100" w:line="276" w:lineRule="auto"/>
        <w:ind w:left="460"/>
      </w:pPr>
    </w:p>
    <w:p w:rsidR="004E2066" w:rsidRDefault="00000000" w14:paraId="6907908B" w14:textId="77777777">
      <w:pPr>
        <w:spacing w:before="300" w:after="120"/>
      </w:pPr>
      <w:r>
        <w:rPr>
          <w:b/>
          <w:bCs/>
          <w:color w:val="1F3864"/>
          <w:sz w:val="26"/>
          <w:szCs w:val="26"/>
        </w:rPr>
        <w:t>How to Use This Resource</w:t>
      </w:r>
    </w:p>
    <w:p w:rsidR="004E2066" w:rsidRDefault="00000000" w14:paraId="6907908C" w14:textId="77777777">
      <w:pPr>
        <w:spacing w:after="150" w:line="276" w:lineRule="auto"/>
      </w:pPr>
      <w:r>
        <w:t>This resource gives you two ways to put numbers behind your objection handling. The first is a set of quantification tools that turn a price objection into a business case, built from the customer's own figures. The second is a simple tracker that records the objections you face and how they resolve, so you can measure your success and see where to improve. Use the quantification tools when you prepare for a specific conversation, and the tracker consistently over time to sharpen your skills.</w:t>
      </w:r>
    </w:p>
    <w:p w:rsidR="004E2066" w:rsidRDefault="00000000" w14:paraId="6907908D" w14:textId="77777777">
      <w:pPr>
        <w:spacing w:after="150" w:line="276" w:lineRule="auto"/>
      </w:pPr>
      <w:r>
        <w:t>You will use this resource to:</w:t>
      </w:r>
    </w:p>
    <w:p w:rsidR="004E2066" w:rsidRDefault="00000000" w14:paraId="6907908E" w14:textId="77777777">
      <w:pPr>
        <w:pStyle w:val="ListParagraph"/>
        <w:numPr>
          <w:ilvl w:val="0"/>
          <w:numId w:val="2"/>
        </w:numPr>
        <w:spacing w:after="100" w:line="276" w:lineRule="auto"/>
      </w:pPr>
      <w:r>
        <w:t>Turn a price objection into a conversation about value and return.</w:t>
      </w:r>
    </w:p>
    <w:p w:rsidR="004E2066" w:rsidRDefault="00000000" w14:paraId="6907908F" w14:textId="77777777">
      <w:pPr>
        <w:pStyle w:val="ListParagraph"/>
        <w:numPr>
          <w:ilvl w:val="0"/>
          <w:numId w:val="2"/>
        </w:numPr>
        <w:spacing w:after="100" w:line="276" w:lineRule="auto"/>
      </w:pPr>
      <w:r>
        <w:t>Make a large number feel manageable and proportionate.</w:t>
      </w:r>
    </w:p>
    <w:p w:rsidR="004E2066" w:rsidRDefault="00000000" w14:paraId="69079090" w14:textId="77777777">
      <w:pPr>
        <w:pStyle w:val="ListParagraph"/>
        <w:numPr>
          <w:ilvl w:val="0"/>
          <w:numId w:val="2"/>
        </w:numPr>
        <w:spacing w:after="100" w:line="276" w:lineRule="auto"/>
      </w:pPr>
      <w:r>
        <w:t>Keep a record of the objections you encounter and how you handle them.</w:t>
      </w:r>
    </w:p>
    <w:p w:rsidR="004E2066" w:rsidRDefault="00000000" w14:paraId="69079091" w14:textId="77777777">
      <w:pPr>
        <w:pStyle w:val="ListParagraph"/>
        <w:numPr>
          <w:ilvl w:val="0"/>
          <w:numId w:val="2"/>
        </w:numPr>
        <w:spacing w:after="100" w:line="276" w:lineRule="auto"/>
      </w:pPr>
      <w:r>
        <w:t>Measure how often you resolve each type of objection.</w:t>
      </w:r>
    </w:p>
    <w:p w:rsidR="004E2066" w:rsidRDefault="00000000" w14:paraId="69079092" w14:textId="77777777">
      <w:pPr>
        <w:pStyle w:val="ListParagraph"/>
        <w:numPr>
          <w:ilvl w:val="0"/>
          <w:numId w:val="2"/>
        </w:numPr>
        <w:spacing w:after="100" w:line="276" w:lineRule="auto"/>
      </w:pPr>
      <w:r>
        <w:t>Focus your practice on the objections that trip you up most.</w:t>
      </w:r>
    </w:p>
    <w:p w:rsidR="004E2066" w:rsidRDefault="00000000" w14:paraId="69079093" w14:textId="77777777">
      <w:pPr>
        <w:spacing w:after="150" w:line="276" w:lineRule="auto"/>
      </w:pPr>
      <w:r>
        <w:rPr>
          <w:b/>
          <w:bCs/>
        </w:rPr>
        <w:t xml:space="preserve">Important: </w:t>
      </w:r>
      <w:r>
        <w:t>Numbers support your response; they do not replace the conversation. Use quantification to reframe the discussion, and use your tracking data to guide practice, not to judge yourself harshly.</w:t>
      </w:r>
    </w:p>
    <w:p w:rsidR="004E2066" w:rsidRDefault="00000000" w14:paraId="69079094" w14:textId="77777777">
      <w:pPr>
        <w:spacing w:before="300" w:after="120"/>
      </w:pPr>
      <w:r>
        <w:rPr>
          <w:b/>
          <w:bCs/>
          <w:color w:val="1F3864"/>
          <w:sz w:val="26"/>
          <w:szCs w:val="26"/>
        </w:rPr>
        <w:t>Value Quantification Best Practices</w:t>
      </w:r>
    </w:p>
    <w:p w:rsidR="004E2066" w:rsidRDefault="00000000" w14:paraId="69079095" w14:textId="77777777">
      <w:pPr>
        <w:pStyle w:val="ListParagraph"/>
        <w:numPr>
          <w:ilvl w:val="0"/>
          <w:numId w:val="2"/>
        </w:numPr>
        <w:spacing w:after="100" w:line="276" w:lineRule="auto"/>
      </w:pPr>
      <w:r>
        <w:t>Build every figure from the customer's own numbers, not generic benchmarks.</w:t>
      </w:r>
    </w:p>
    <w:p w:rsidR="004E2066" w:rsidRDefault="00000000" w14:paraId="69079096" w14:textId="77777777">
      <w:pPr>
        <w:pStyle w:val="ListParagraph"/>
        <w:numPr>
          <w:ilvl w:val="0"/>
          <w:numId w:val="2"/>
        </w:numPr>
        <w:spacing w:after="100" w:line="276" w:lineRule="auto"/>
      </w:pPr>
      <w:r>
        <w:t>Make the cost of inaction visible; a decision to delay has a cost too.</w:t>
      </w:r>
    </w:p>
    <w:p w:rsidR="004E2066" w:rsidRDefault="00000000" w14:paraId="69079097" w14:textId="77777777">
      <w:pPr>
        <w:pStyle w:val="ListParagraph"/>
        <w:numPr>
          <w:ilvl w:val="0"/>
          <w:numId w:val="2"/>
        </w:numPr>
        <w:spacing w:after="100" w:line="276" w:lineRule="auto"/>
      </w:pPr>
      <w:r>
        <w:t>Calculate conservatively so the customer can defend the numbers internally.</w:t>
      </w:r>
    </w:p>
    <w:p w:rsidR="004E2066" w:rsidRDefault="00000000" w14:paraId="69079098" w14:textId="77777777">
      <w:pPr>
        <w:pStyle w:val="ListParagraph"/>
        <w:numPr>
          <w:ilvl w:val="0"/>
          <w:numId w:val="2"/>
        </w:numPr>
        <w:spacing w:after="100" w:line="276" w:lineRule="auto"/>
      </w:pPr>
      <w:r>
        <w:t>Break large prices into smaller units to make them feel manageable.</w:t>
      </w:r>
    </w:p>
    <w:p w:rsidR="004E2066" w:rsidRDefault="00000000" w14:paraId="69079099" w14:textId="77777777">
      <w:pPr>
        <w:pStyle w:val="ListParagraph"/>
        <w:numPr>
          <w:ilvl w:val="0"/>
          <w:numId w:val="2"/>
        </w:numPr>
        <w:spacing w:after="100" w:line="276" w:lineRule="auto"/>
      </w:pPr>
      <w:r>
        <w:t>Track your outcomes honestly; patterns only show up over time.</w:t>
      </w:r>
    </w:p>
    <w:p w:rsidR="004E2066" w:rsidRDefault="00000000" w14:paraId="6907909A" w14:textId="77777777">
      <w:pPr>
        <w:spacing w:before="300" w:after="120"/>
      </w:pPr>
      <w:r>
        <w:rPr>
          <w:b/>
          <w:bCs/>
          <w:color w:val="1F3864"/>
          <w:sz w:val="26"/>
          <w:szCs w:val="26"/>
        </w:rPr>
        <w:t>How This Resource is Used in Module 2</w:t>
      </w:r>
    </w:p>
    <w:p w:rsidR="004E2066" w:rsidRDefault="00000000" w14:paraId="6907909B" w14:textId="77777777">
      <w:pPr>
        <w:spacing w:after="150" w:line="276" w:lineRule="auto"/>
      </w:pPr>
      <w:r>
        <w:lastRenderedPageBreak/>
        <w:t>This resource supports:</w:t>
      </w:r>
    </w:p>
    <w:p w:rsidR="004E2066" w:rsidRDefault="00000000" w14:paraId="6907909C" w14:textId="77777777">
      <w:pPr>
        <w:pStyle w:val="ListParagraph"/>
        <w:numPr>
          <w:ilvl w:val="0"/>
          <w:numId w:val="2"/>
        </w:numPr>
        <w:spacing w:after="100" w:line="276" w:lineRule="auto"/>
      </w:pPr>
      <w:r>
        <w:t>The Lesson 2 videos on mastering price objections, competitive positioning, and hostile prospects.</w:t>
      </w:r>
    </w:p>
    <w:p w:rsidR="004E2066" w:rsidRDefault="00000000" w14:paraId="6907909D" w14:textId="77777777">
      <w:pPr>
        <w:pStyle w:val="ListParagraph"/>
        <w:numPr>
          <w:ilvl w:val="0"/>
          <w:numId w:val="2"/>
        </w:numPr>
        <w:spacing w:after="100" w:line="276" w:lineRule="auto"/>
      </w:pPr>
      <w:r>
        <w:t>Lab 2.2: Advanced Response Builder.</w:t>
      </w:r>
    </w:p>
    <w:p w:rsidR="004E2066" w:rsidRDefault="00000000" w14:paraId="6907909E" w14:textId="77777777">
      <w:pPr>
        <w:pStyle w:val="ListParagraph"/>
        <w:numPr>
          <w:ilvl w:val="0"/>
          <w:numId w:val="2"/>
        </w:numPr>
        <w:spacing w:after="100" w:line="276" w:lineRule="auto"/>
      </w:pPr>
      <w:r>
        <w:t>Final project in Module 4.</w:t>
      </w:r>
    </w:p>
    <w:p w:rsidR="004E2066" w:rsidP="1B57CD43" w:rsidRDefault="00000000" w14:paraId="6907909F" w14:textId="7F9DB960">
      <w:pPr>
        <w:pBdr>
          <w:bottom w:val="single" w:color="BFBFBF" w:sz="6" w:space="2"/>
        </w:pBdr>
        <w:spacing w:before="340" w:after="120"/>
      </w:pPr>
      <w:r w:rsidRPr="1B57CD43" w:rsidR="49A8F76C">
        <w:rPr>
          <w:b w:val="1"/>
          <w:bCs w:val="1"/>
          <w:color w:val="1F3864" w:themeColor="accent1" w:themeTint="FF" w:themeShade="80"/>
          <w:sz w:val="27"/>
          <w:szCs w:val="27"/>
        </w:rPr>
        <w:t xml:space="preserve">Part 1: Quantifying the </w:t>
      </w:r>
      <w:r w:rsidRPr="1B57CD43" w:rsidR="723518B6">
        <w:rPr>
          <w:b w:val="1"/>
          <w:bCs w:val="1"/>
          <w:color w:val="1F3864" w:themeColor="accent1" w:themeTint="FF" w:themeShade="80"/>
          <w:sz w:val="27"/>
          <w:szCs w:val="27"/>
        </w:rPr>
        <w:t>v</w:t>
      </w:r>
      <w:r w:rsidRPr="1B57CD43" w:rsidR="49A8F76C">
        <w:rPr>
          <w:b w:val="1"/>
          <w:bCs w:val="1"/>
          <w:color w:val="1F3864" w:themeColor="accent1" w:themeTint="FF" w:themeShade="80"/>
          <w:sz w:val="27"/>
          <w:szCs w:val="27"/>
        </w:rPr>
        <w:t xml:space="preserve">alue </w:t>
      </w:r>
      <w:r w:rsidRPr="1B57CD43" w:rsidR="49C30020">
        <w:rPr>
          <w:b w:val="1"/>
          <w:bCs w:val="1"/>
          <w:color w:val="1F3864" w:themeColor="accent1" w:themeTint="FF" w:themeShade="80"/>
          <w:sz w:val="27"/>
          <w:szCs w:val="27"/>
        </w:rPr>
        <w:t>b</w:t>
      </w:r>
      <w:r w:rsidRPr="1B57CD43" w:rsidR="49A8F76C">
        <w:rPr>
          <w:b w:val="1"/>
          <w:bCs w:val="1"/>
          <w:color w:val="1F3864" w:themeColor="accent1" w:themeTint="FF" w:themeShade="80"/>
          <w:sz w:val="27"/>
          <w:szCs w:val="27"/>
        </w:rPr>
        <w:t xml:space="preserve">ehind </w:t>
      </w:r>
      <w:r w:rsidRPr="1B57CD43" w:rsidR="113C9B64">
        <w:rPr>
          <w:b w:val="1"/>
          <w:bCs w:val="1"/>
          <w:color w:val="1F3864" w:themeColor="accent1" w:themeTint="FF" w:themeShade="80"/>
          <w:sz w:val="27"/>
          <w:szCs w:val="27"/>
        </w:rPr>
        <w:t>y</w:t>
      </w:r>
      <w:r w:rsidRPr="1B57CD43" w:rsidR="49A8F76C">
        <w:rPr>
          <w:b w:val="1"/>
          <w:bCs w:val="1"/>
          <w:color w:val="1F3864" w:themeColor="accent1" w:themeTint="FF" w:themeShade="80"/>
          <w:sz w:val="27"/>
          <w:szCs w:val="27"/>
        </w:rPr>
        <w:t xml:space="preserve">our </w:t>
      </w:r>
      <w:r w:rsidRPr="1B57CD43" w:rsidR="6A4174DA">
        <w:rPr>
          <w:b w:val="1"/>
          <w:bCs w:val="1"/>
          <w:color w:val="1F3864" w:themeColor="accent1" w:themeTint="FF" w:themeShade="80"/>
          <w:sz w:val="27"/>
          <w:szCs w:val="27"/>
        </w:rPr>
        <w:t>r</w:t>
      </w:r>
      <w:r w:rsidRPr="1B57CD43" w:rsidR="49A8F76C">
        <w:rPr>
          <w:b w:val="1"/>
          <w:bCs w:val="1"/>
          <w:color w:val="1F3864" w:themeColor="accent1" w:themeTint="FF" w:themeShade="80"/>
          <w:sz w:val="27"/>
          <w:szCs w:val="27"/>
        </w:rPr>
        <w:t>esponse</w:t>
      </w:r>
    </w:p>
    <w:p w:rsidR="004E2066" w:rsidRDefault="00000000" w14:paraId="690790A0" w14:textId="7499A06E">
      <w:pPr>
        <w:spacing w:before="240" w:after="90"/>
      </w:pPr>
      <w:r w:rsidRPr="1B57CD43" w:rsidR="49A8F76C">
        <w:rPr>
          <w:b w:val="1"/>
          <w:bCs w:val="1"/>
          <w:color w:val="2E74B5" w:themeColor="accent5" w:themeTint="FF" w:themeShade="BF"/>
          <w:sz w:val="24"/>
          <w:szCs w:val="24"/>
        </w:rPr>
        <w:t xml:space="preserve">Section 1: The </w:t>
      </w:r>
      <w:r w:rsidRPr="1B57CD43" w:rsidR="38C98CBA">
        <w:rPr>
          <w:b w:val="1"/>
          <w:bCs w:val="1"/>
          <w:color w:val="2E74B5" w:themeColor="accent5" w:themeTint="FF" w:themeShade="BF"/>
          <w:sz w:val="24"/>
          <w:szCs w:val="24"/>
        </w:rPr>
        <w:t>c</w:t>
      </w:r>
      <w:r w:rsidRPr="1B57CD43" w:rsidR="49A8F76C">
        <w:rPr>
          <w:b w:val="1"/>
          <w:bCs w:val="1"/>
          <w:color w:val="2E74B5" w:themeColor="accent5" w:themeTint="FF" w:themeShade="BF"/>
          <w:sz w:val="24"/>
          <w:szCs w:val="24"/>
        </w:rPr>
        <w:t xml:space="preserve">ost of </w:t>
      </w:r>
      <w:r w:rsidRPr="1B57CD43" w:rsidR="3A7ACAB0">
        <w:rPr>
          <w:b w:val="1"/>
          <w:bCs w:val="1"/>
          <w:color w:val="2E74B5" w:themeColor="accent5" w:themeTint="FF" w:themeShade="BF"/>
          <w:sz w:val="24"/>
          <w:szCs w:val="24"/>
        </w:rPr>
        <w:t>i</w:t>
      </w:r>
      <w:r w:rsidRPr="1B57CD43" w:rsidR="49A8F76C">
        <w:rPr>
          <w:b w:val="1"/>
          <w:bCs w:val="1"/>
          <w:color w:val="2E74B5" w:themeColor="accent5" w:themeTint="FF" w:themeShade="BF"/>
          <w:sz w:val="24"/>
          <w:szCs w:val="24"/>
        </w:rPr>
        <w:t>naction</w:t>
      </w:r>
    </w:p>
    <w:p w:rsidR="004E2066" w:rsidRDefault="00000000" w14:paraId="690790A1" w14:textId="77777777">
      <w:pPr>
        <w:spacing w:after="120" w:line="276" w:lineRule="auto"/>
      </w:pPr>
      <w:r>
        <w:rPr>
          <w:b/>
          <w:bCs/>
        </w:rPr>
        <w:t xml:space="preserve">Purpose: </w:t>
      </w:r>
      <w:r>
        <w:t>Make the hidden cost of not solving the problem visible, so the price of your solution looks different.</w:t>
      </w:r>
    </w:p>
    <w:p w:rsidR="004E2066" w:rsidRDefault="00000000" w14:paraId="690790A2" w14:textId="77777777">
      <w:pPr>
        <w:spacing w:before="100" w:after="60"/>
      </w:pPr>
      <w:r>
        <w:rPr>
          <w:b/>
          <w:bCs/>
        </w:rPr>
        <w:t>The manual or inefficient process, and what it costs today:</w:t>
      </w:r>
    </w:p>
    <w:p w:rsidR="004E2066" w:rsidRDefault="004E2066" w14:paraId="690790A3" w14:textId="77777777">
      <w:pPr>
        <w:pBdr>
          <w:bottom w:val="single" w:color="808080" w:sz="4" w:space="3"/>
        </w:pBdr>
        <w:spacing w:before="120" w:after="120"/>
      </w:pPr>
    </w:p>
    <w:p w:rsidR="004E2066" w:rsidRDefault="004E2066" w14:paraId="690790A4" w14:textId="77777777">
      <w:pPr>
        <w:pBdr>
          <w:bottom w:val="single" w:color="808080" w:sz="4" w:space="3"/>
        </w:pBdr>
        <w:spacing w:before="120" w:after="120"/>
      </w:pPr>
    </w:p>
    <w:p w:rsidR="004E2066" w:rsidRDefault="00000000" w14:paraId="690790A5" w14:textId="77777777">
      <w:pPr>
        <w:spacing w:before="100" w:after="60"/>
      </w:pPr>
      <w:r>
        <w:rPr>
          <w:b/>
          <w:bCs/>
        </w:rPr>
        <w:t>People affected and time lost (for example, hours per person per period):</w:t>
      </w:r>
    </w:p>
    <w:p w:rsidR="004E2066" w:rsidRDefault="004E2066" w14:paraId="690790A6" w14:textId="77777777">
      <w:pPr>
        <w:pBdr>
          <w:bottom w:val="single" w:color="808080" w:sz="4" w:space="3"/>
        </w:pBdr>
        <w:spacing w:before="120" w:after="120"/>
      </w:pPr>
    </w:p>
    <w:p w:rsidR="004E2066" w:rsidRDefault="00000000" w14:paraId="690790A7" w14:textId="77777777">
      <w:pPr>
        <w:spacing w:before="100" w:after="60"/>
      </w:pPr>
      <w:r>
        <w:rPr>
          <w:b/>
          <w:bCs/>
        </w:rPr>
        <w:t>Annualized cost of the current situation:</w:t>
      </w:r>
    </w:p>
    <w:p w:rsidR="004E2066" w:rsidRDefault="004E2066" w14:paraId="690790A8" w14:textId="77777777">
      <w:pPr>
        <w:pBdr>
          <w:bottom w:val="single" w:color="808080" w:sz="4" w:space="3"/>
        </w:pBdr>
        <w:spacing w:before="120" w:after="120"/>
      </w:pPr>
    </w:p>
    <w:p w:rsidR="004E2066" w:rsidRDefault="00000000" w14:paraId="690790A9" w14:textId="77777777">
      <w:pPr>
        <w:spacing w:before="100" w:after="60"/>
      </w:pPr>
      <w:r>
        <w:rPr>
          <w:b/>
          <w:bCs/>
        </w:rPr>
        <w:t>Cost of staying with the current approach for another twelve months:</w:t>
      </w:r>
    </w:p>
    <w:p w:rsidR="004E2066" w:rsidRDefault="004E2066" w14:paraId="690790AA" w14:textId="77777777">
      <w:pPr>
        <w:pBdr>
          <w:bottom w:val="single" w:color="808080" w:sz="4" w:space="3"/>
        </w:pBdr>
        <w:spacing w:before="120" w:after="120"/>
      </w:pPr>
    </w:p>
    <w:p w:rsidR="004E2066" w:rsidRDefault="00000000" w14:paraId="690790AB" w14:textId="6DBA843A">
      <w:pPr>
        <w:spacing w:before="240" w:after="90"/>
      </w:pPr>
      <w:r w:rsidRPr="1B57CD43" w:rsidR="49A8F76C">
        <w:rPr>
          <w:b w:val="1"/>
          <w:bCs w:val="1"/>
          <w:color w:val="2E74B5" w:themeColor="accent5" w:themeTint="FF" w:themeShade="BF"/>
          <w:sz w:val="24"/>
          <w:szCs w:val="24"/>
        </w:rPr>
        <w:t xml:space="preserve">Section 2: Return on </w:t>
      </w:r>
      <w:r w:rsidRPr="1B57CD43" w:rsidR="4EDC2A6C">
        <w:rPr>
          <w:b w:val="1"/>
          <w:bCs w:val="1"/>
          <w:color w:val="2E74B5" w:themeColor="accent5" w:themeTint="FF" w:themeShade="BF"/>
          <w:sz w:val="24"/>
          <w:szCs w:val="24"/>
        </w:rPr>
        <w:t>i</w:t>
      </w:r>
      <w:r w:rsidRPr="1B57CD43" w:rsidR="49A8F76C">
        <w:rPr>
          <w:b w:val="1"/>
          <w:bCs w:val="1"/>
          <w:color w:val="2E74B5" w:themeColor="accent5" w:themeTint="FF" w:themeShade="BF"/>
          <w:sz w:val="24"/>
          <w:szCs w:val="24"/>
        </w:rPr>
        <w:t>nvestment</w:t>
      </w:r>
    </w:p>
    <w:p w:rsidR="004E2066" w:rsidRDefault="00000000" w14:paraId="690790AC" w14:textId="77777777">
      <w:pPr>
        <w:spacing w:after="120" w:line="276" w:lineRule="auto"/>
      </w:pPr>
      <w:r>
        <w:rPr>
          <w:b/>
          <w:bCs/>
        </w:rPr>
        <w:t xml:space="preserve">Purpose: </w:t>
      </w:r>
      <w:r>
        <w:t>Express the return in the customer's own numbers, so the price becomes an investment rather than a cost.</w:t>
      </w:r>
    </w:p>
    <w:p w:rsidR="004E2066" w:rsidRDefault="00000000" w14:paraId="690790AD" w14:textId="77777777">
      <w:pPr>
        <w:spacing w:after="150" w:line="276" w:lineRule="auto"/>
      </w:pPr>
      <w:r>
        <w:rPr>
          <w:b/>
          <w:bCs/>
        </w:rPr>
        <w:t xml:space="preserve">Formula: </w:t>
      </w:r>
      <w:r>
        <w:t>ROI = (total benefit − total cost) ÷ total cost, expressed as a percentage. Example: a $300,000 benefit against a $100,000 investment over twelve months is a 200% ROI.</w:t>
      </w:r>
    </w:p>
    <w:p w:rsidR="004E2066" w:rsidRDefault="00000000" w14:paraId="690790AE" w14:textId="77777777">
      <w:pPr>
        <w:spacing w:before="100" w:after="60"/>
      </w:pPr>
      <w:r>
        <w:rPr>
          <w:b/>
          <w:bCs/>
        </w:rPr>
        <w:t>Total financial benefit over the period:</w:t>
      </w:r>
    </w:p>
    <w:p w:rsidR="004E2066" w:rsidRDefault="004E2066" w14:paraId="690790AF" w14:textId="77777777">
      <w:pPr>
        <w:pBdr>
          <w:bottom w:val="single" w:color="808080" w:sz="4" w:space="3"/>
        </w:pBdr>
        <w:spacing w:before="120" w:after="120"/>
      </w:pPr>
    </w:p>
    <w:p w:rsidR="004E2066" w:rsidRDefault="00000000" w14:paraId="690790B0" w14:textId="77777777">
      <w:pPr>
        <w:spacing w:before="100" w:after="60"/>
      </w:pPr>
      <w:r>
        <w:rPr>
          <w:b/>
          <w:bCs/>
        </w:rPr>
        <w:t>Total cost of the investment:</w:t>
      </w:r>
    </w:p>
    <w:p w:rsidR="004E2066" w:rsidRDefault="004E2066" w14:paraId="690790B1" w14:textId="77777777">
      <w:pPr>
        <w:pBdr>
          <w:bottom w:val="single" w:color="808080" w:sz="4" w:space="3"/>
        </w:pBdr>
        <w:spacing w:before="120" w:after="120"/>
      </w:pPr>
    </w:p>
    <w:p w:rsidR="004E2066" w:rsidRDefault="00000000" w14:paraId="690790B2" w14:textId="77777777">
      <w:pPr>
        <w:spacing w:before="100" w:after="60"/>
      </w:pPr>
      <w:r>
        <w:rPr>
          <w:b/>
          <w:bCs/>
        </w:rPr>
        <w:t>ROI (as a percentage):</w:t>
      </w:r>
    </w:p>
    <w:p w:rsidR="004E2066" w:rsidRDefault="004E2066" w14:paraId="690790B3" w14:textId="77777777">
      <w:pPr>
        <w:pBdr>
          <w:bottom w:val="single" w:color="808080" w:sz="4" w:space="3"/>
        </w:pBdr>
        <w:spacing w:before="120" w:after="120"/>
      </w:pPr>
    </w:p>
    <w:p w:rsidR="004E2066" w:rsidRDefault="00000000" w14:paraId="690790B4" w14:textId="77777777">
      <w:pPr>
        <w:spacing w:before="100" w:after="60"/>
      </w:pPr>
      <w:r>
        <w:rPr>
          <w:b/>
          <w:bCs/>
        </w:rPr>
        <w:t>Payback period (time for benefits to cover the cost):</w:t>
      </w:r>
    </w:p>
    <w:p w:rsidR="004E2066" w:rsidRDefault="004E2066" w14:paraId="690790B5" w14:textId="77777777">
      <w:pPr>
        <w:pBdr>
          <w:bottom w:val="single" w:color="808080" w:sz="4" w:space="3"/>
        </w:pBdr>
        <w:spacing w:before="120" w:after="120"/>
      </w:pPr>
    </w:p>
    <w:p w:rsidR="004E2066" w:rsidRDefault="00000000" w14:paraId="690790B6" w14:textId="2B8B669E">
      <w:pPr>
        <w:spacing w:before="240" w:after="90"/>
      </w:pPr>
      <w:r w:rsidRPr="1B57CD43" w:rsidR="49A8F76C">
        <w:rPr>
          <w:b w:val="1"/>
          <w:bCs w:val="1"/>
          <w:color w:val="2E74B5" w:themeColor="accent5" w:themeTint="FF" w:themeShade="BF"/>
          <w:sz w:val="24"/>
          <w:szCs w:val="24"/>
        </w:rPr>
        <w:t xml:space="preserve">Section 3: Value </w:t>
      </w:r>
      <w:r w:rsidRPr="1B57CD43" w:rsidR="5AEAFA2D">
        <w:rPr>
          <w:b w:val="1"/>
          <w:bCs w:val="1"/>
          <w:color w:val="2E74B5" w:themeColor="accent5" w:themeTint="FF" w:themeShade="BF"/>
          <w:sz w:val="24"/>
          <w:szCs w:val="24"/>
        </w:rPr>
        <w:t>s</w:t>
      </w:r>
      <w:r w:rsidRPr="1B57CD43" w:rsidR="49A8F76C">
        <w:rPr>
          <w:b w:val="1"/>
          <w:bCs w:val="1"/>
          <w:color w:val="2E74B5" w:themeColor="accent5" w:themeTint="FF" w:themeShade="BF"/>
          <w:sz w:val="24"/>
          <w:szCs w:val="24"/>
        </w:rPr>
        <w:t xml:space="preserve">tacking and </w:t>
      </w:r>
      <w:r w:rsidRPr="1B57CD43" w:rsidR="3A6B58D9">
        <w:rPr>
          <w:b w:val="1"/>
          <w:bCs w:val="1"/>
          <w:color w:val="2E74B5" w:themeColor="accent5" w:themeTint="FF" w:themeShade="BF"/>
          <w:sz w:val="24"/>
          <w:szCs w:val="24"/>
        </w:rPr>
        <w:t>a</w:t>
      </w:r>
      <w:r w:rsidRPr="1B57CD43" w:rsidR="49A8F76C">
        <w:rPr>
          <w:b w:val="1"/>
          <w:bCs w:val="1"/>
          <w:color w:val="2E74B5" w:themeColor="accent5" w:themeTint="FF" w:themeShade="BF"/>
          <w:sz w:val="24"/>
          <w:szCs w:val="24"/>
        </w:rPr>
        <w:t>mortization</w:t>
      </w:r>
    </w:p>
    <w:p w:rsidR="004E2066" w:rsidRDefault="00000000" w14:paraId="690790B7" w14:textId="77777777">
      <w:pPr>
        <w:spacing w:after="120" w:line="276" w:lineRule="auto"/>
      </w:pPr>
      <w:r>
        <w:rPr>
          <w:b/>
          <w:bCs/>
        </w:rPr>
        <w:t xml:space="preserve">Purpose: </w:t>
      </w:r>
      <w:r>
        <w:t>Reframe the price so it feels proportionate to everything the customer receives.</w:t>
      </w:r>
    </w:p>
    <w:p w:rsidR="004E2066" w:rsidRDefault="00000000" w14:paraId="690790B8" w14:textId="77777777">
      <w:pPr>
        <w:spacing w:before="100" w:after="60"/>
      </w:pPr>
      <w:r>
        <w:rPr>
          <w:b/>
          <w:bCs/>
        </w:rPr>
        <w:t>Value stacking - everything included for the price (implementation, integrations, training, support):</w:t>
      </w:r>
    </w:p>
    <w:p w:rsidR="004E2066" w:rsidRDefault="004E2066" w14:paraId="690790B9" w14:textId="77777777">
      <w:pPr>
        <w:pBdr>
          <w:bottom w:val="single" w:color="808080" w:sz="4" w:space="3"/>
        </w:pBdr>
        <w:spacing w:before="120" w:after="120"/>
      </w:pPr>
    </w:p>
    <w:p w:rsidR="004E2066" w:rsidRDefault="004E2066" w14:paraId="690790BA" w14:textId="77777777">
      <w:pPr>
        <w:pBdr>
          <w:bottom w:val="single" w:color="808080" w:sz="4" w:space="3"/>
        </w:pBdr>
        <w:spacing w:before="120" w:after="120"/>
      </w:pPr>
    </w:p>
    <w:p w:rsidR="004E2066" w:rsidRDefault="00000000" w14:paraId="690790BB" w14:textId="77777777">
      <w:pPr>
        <w:spacing w:before="100" w:after="60"/>
      </w:pPr>
      <w:r>
        <w:rPr>
          <w:b/>
          <w:bCs/>
        </w:rPr>
        <w:t>Amortization - the annual price broken into a smaller unit (per user, per day, or per team):</w:t>
      </w:r>
    </w:p>
    <w:p w:rsidR="004E2066" w:rsidRDefault="004E2066" w14:paraId="690790BC" w14:textId="77777777">
      <w:pPr>
        <w:pBdr>
          <w:bottom w:val="single" w:color="808080" w:sz="4" w:space="3"/>
        </w:pBdr>
        <w:spacing w:before="120" w:after="120"/>
      </w:pPr>
    </w:p>
    <w:p w:rsidR="004E2066" w:rsidP="1B57CD43" w:rsidRDefault="00000000" w14:paraId="690790BD" w14:textId="33111448">
      <w:pPr>
        <w:pBdr>
          <w:bottom w:val="single" w:color="BFBFBF" w:sz="6" w:space="2"/>
        </w:pBdr>
        <w:spacing w:before="340" w:after="120"/>
      </w:pPr>
      <w:r w:rsidRPr="1B57CD43" w:rsidR="49A8F76C">
        <w:rPr>
          <w:b w:val="1"/>
          <w:bCs w:val="1"/>
          <w:color w:val="1F3864" w:themeColor="accent1" w:themeTint="FF" w:themeShade="80"/>
          <w:sz w:val="27"/>
          <w:szCs w:val="27"/>
        </w:rPr>
        <w:t xml:space="preserve">Part 2: Tracking </w:t>
      </w:r>
      <w:r w:rsidRPr="1B57CD43" w:rsidR="4E7BAD7A">
        <w:rPr>
          <w:b w:val="1"/>
          <w:bCs w:val="1"/>
          <w:color w:val="1F3864" w:themeColor="accent1" w:themeTint="FF" w:themeShade="80"/>
          <w:sz w:val="27"/>
          <w:szCs w:val="27"/>
        </w:rPr>
        <w:t>y</w:t>
      </w:r>
      <w:r w:rsidRPr="1B57CD43" w:rsidR="49A8F76C">
        <w:rPr>
          <w:b w:val="1"/>
          <w:bCs w:val="1"/>
          <w:color w:val="1F3864" w:themeColor="accent1" w:themeTint="FF" w:themeShade="80"/>
          <w:sz w:val="27"/>
          <w:szCs w:val="27"/>
        </w:rPr>
        <w:t xml:space="preserve">our </w:t>
      </w:r>
      <w:r w:rsidRPr="1B57CD43" w:rsidR="670D6D42">
        <w:rPr>
          <w:b w:val="1"/>
          <w:bCs w:val="1"/>
          <w:color w:val="1F3864" w:themeColor="accent1" w:themeTint="FF" w:themeShade="80"/>
          <w:sz w:val="27"/>
          <w:szCs w:val="27"/>
        </w:rPr>
        <w:t>o</w:t>
      </w:r>
      <w:r w:rsidRPr="1B57CD43" w:rsidR="49A8F76C">
        <w:rPr>
          <w:b w:val="1"/>
          <w:bCs w:val="1"/>
          <w:color w:val="1F3864" w:themeColor="accent1" w:themeTint="FF" w:themeShade="80"/>
          <w:sz w:val="27"/>
          <w:szCs w:val="27"/>
        </w:rPr>
        <w:t>bjection-</w:t>
      </w:r>
      <w:r w:rsidRPr="1B57CD43" w:rsidR="1F792116">
        <w:rPr>
          <w:b w:val="1"/>
          <w:bCs w:val="1"/>
          <w:color w:val="1F3864" w:themeColor="accent1" w:themeTint="FF" w:themeShade="80"/>
          <w:sz w:val="27"/>
          <w:szCs w:val="27"/>
        </w:rPr>
        <w:t>h</w:t>
      </w:r>
      <w:r w:rsidRPr="1B57CD43" w:rsidR="49A8F76C">
        <w:rPr>
          <w:b w:val="1"/>
          <w:bCs w:val="1"/>
          <w:color w:val="1F3864" w:themeColor="accent1" w:themeTint="FF" w:themeShade="80"/>
          <w:sz w:val="27"/>
          <w:szCs w:val="27"/>
        </w:rPr>
        <w:t xml:space="preserve">andling </w:t>
      </w:r>
      <w:r w:rsidRPr="1B57CD43" w:rsidR="6D3FF771">
        <w:rPr>
          <w:b w:val="1"/>
          <w:bCs w:val="1"/>
          <w:color w:val="1F3864" w:themeColor="accent1" w:themeTint="FF" w:themeShade="80"/>
          <w:sz w:val="27"/>
          <w:szCs w:val="27"/>
        </w:rPr>
        <w:t>p</w:t>
      </w:r>
      <w:r w:rsidRPr="1B57CD43" w:rsidR="49A8F76C">
        <w:rPr>
          <w:b w:val="1"/>
          <w:bCs w:val="1"/>
          <w:color w:val="1F3864" w:themeColor="accent1" w:themeTint="FF" w:themeShade="80"/>
          <w:sz w:val="27"/>
          <w:szCs w:val="27"/>
        </w:rPr>
        <w:t>erformance</w:t>
      </w:r>
    </w:p>
    <w:p w:rsidR="004E2066" w:rsidRDefault="00000000" w14:paraId="690790BE" w14:textId="3AAF36B4">
      <w:pPr>
        <w:spacing w:before="240" w:after="90"/>
      </w:pPr>
      <w:r w:rsidRPr="1B57CD43" w:rsidR="49A8F76C">
        <w:rPr>
          <w:b w:val="1"/>
          <w:bCs w:val="1"/>
          <w:color w:val="2E74B5" w:themeColor="accent5" w:themeTint="FF" w:themeShade="BF"/>
          <w:sz w:val="24"/>
          <w:szCs w:val="24"/>
        </w:rPr>
        <w:t xml:space="preserve">Section 4: Objection </w:t>
      </w:r>
      <w:r w:rsidRPr="1B57CD43" w:rsidR="4E9EC014">
        <w:rPr>
          <w:b w:val="1"/>
          <w:bCs w:val="1"/>
          <w:color w:val="2E74B5" w:themeColor="accent5" w:themeTint="FF" w:themeShade="BF"/>
          <w:sz w:val="24"/>
          <w:szCs w:val="24"/>
        </w:rPr>
        <w:t>l</w:t>
      </w:r>
      <w:r w:rsidRPr="1B57CD43" w:rsidR="49A8F76C">
        <w:rPr>
          <w:b w:val="1"/>
          <w:bCs w:val="1"/>
          <w:color w:val="2E74B5" w:themeColor="accent5" w:themeTint="FF" w:themeShade="BF"/>
          <w:sz w:val="24"/>
          <w:szCs w:val="24"/>
        </w:rPr>
        <w:t>og</w:t>
      </w:r>
    </w:p>
    <w:p w:rsidR="004E2066" w:rsidRDefault="00000000" w14:paraId="690790BF" w14:textId="77777777">
      <w:pPr>
        <w:spacing w:after="120" w:line="276" w:lineRule="auto"/>
      </w:pPr>
      <w:r>
        <w:rPr>
          <w:b/>
          <w:bCs/>
        </w:rPr>
        <w:t xml:space="preserve">Purpose: </w:t>
      </w:r>
      <w:r>
        <w:t>Record each significant objection, how you responded, and how it resolved. Patterns appear only when you track consistently.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100"/>
        <w:gridCol w:w="3000"/>
        <w:gridCol w:w="3360"/>
        <w:gridCol w:w="1900"/>
      </w:tblGrid>
      <w:tr w:rsidR="004E2066" w14:paraId="690790C4" w14:textId="77777777">
        <w:tblPrEx>
          <w:tblCellMar>
            <w:top w:w="0" w:type="dxa"/>
            <w:bottom w:w="0" w:type="dxa"/>
          </w:tblCellMar>
        </w:tblPrEx>
        <w:trPr>
          <w:tblHeader/>
        </w:trPr>
        <w:tc>
          <w:tcPr>
            <w:tcW w:w="1100" w:type="dxa"/>
            <w:tcBorders>
              <w:top w:val="single" w:color="D9D9D9" w:sz="4" w:space="0"/>
              <w:left w:val="single" w:color="D9D9D9" w:sz="4" w:space="0"/>
              <w:bottom w:val="single" w:color="D9D9D9" w:sz="4" w:space="0"/>
              <w:right w:val="single" w:color="D9D9D9" w:sz="4" w:space="0"/>
            </w:tcBorders>
            <w:shd w:val="clear" w:color="auto" w:fill="1F3864"/>
            <w:tcMar>
              <w:top w:w="60" w:type="dxa"/>
              <w:left w:w="110" w:type="dxa"/>
              <w:bottom w:w="60" w:type="dxa"/>
              <w:right w:w="110" w:type="dxa"/>
            </w:tcMar>
            <w:vAlign w:val="center"/>
          </w:tcPr>
          <w:p w:rsidR="004E2066" w:rsidRDefault="00000000" w14:paraId="690790C0" w14:textId="77777777">
            <w:r>
              <w:rPr>
                <w:b/>
                <w:bCs/>
                <w:color w:val="FFFFFF"/>
                <w:sz w:val="21"/>
                <w:szCs w:val="21"/>
              </w:rPr>
              <w:t>Date</w:t>
            </w:r>
          </w:p>
        </w:tc>
        <w:tc>
          <w:tcPr>
            <w:tcW w:w="3000" w:type="dxa"/>
            <w:tcBorders>
              <w:top w:val="single" w:color="D9D9D9" w:sz="4" w:space="0"/>
              <w:left w:val="single" w:color="D9D9D9" w:sz="4" w:space="0"/>
              <w:bottom w:val="single" w:color="D9D9D9" w:sz="4" w:space="0"/>
              <w:right w:val="single" w:color="D9D9D9" w:sz="4" w:space="0"/>
            </w:tcBorders>
            <w:shd w:val="clear" w:color="auto" w:fill="1F3864"/>
            <w:tcMar>
              <w:top w:w="60" w:type="dxa"/>
              <w:left w:w="110" w:type="dxa"/>
              <w:bottom w:w="60" w:type="dxa"/>
              <w:right w:w="110" w:type="dxa"/>
            </w:tcMar>
            <w:vAlign w:val="center"/>
          </w:tcPr>
          <w:p w:rsidR="004E2066" w:rsidRDefault="00000000" w14:paraId="690790C1" w14:textId="77777777">
            <w:r>
              <w:rPr>
                <w:b/>
                <w:bCs/>
                <w:color w:val="FFFFFF"/>
                <w:sz w:val="21"/>
                <w:szCs w:val="21"/>
              </w:rPr>
              <w:t>Objection (and type)</w:t>
            </w:r>
          </w:p>
        </w:tc>
        <w:tc>
          <w:tcPr>
            <w:tcW w:w="3360" w:type="dxa"/>
            <w:tcBorders>
              <w:top w:val="single" w:color="D9D9D9" w:sz="4" w:space="0"/>
              <w:left w:val="single" w:color="D9D9D9" w:sz="4" w:space="0"/>
              <w:bottom w:val="single" w:color="D9D9D9" w:sz="4" w:space="0"/>
              <w:right w:val="single" w:color="D9D9D9" w:sz="4" w:space="0"/>
            </w:tcBorders>
            <w:shd w:val="clear" w:color="auto" w:fill="1F3864"/>
            <w:tcMar>
              <w:top w:w="60" w:type="dxa"/>
              <w:left w:w="110" w:type="dxa"/>
              <w:bottom w:w="60" w:type="dxa"/>
              <w:right w:w="110" w:type="dxa"/>
            </w:tcMar>
            <w:vAlign w:val="center"/>
          </w:tcPr>
          <w:p w:rsidR="004E2066" w:rsidRDefault="00000000" w14:paraId="690790C2" w14:textId="77777777">
            <w:r>
              <w:rPr>
                <w:b/>
                <w:bCs/>
                <w:color w:val="FFFFFF"/>
                <w:sz w:val="21"/>
                <w:szCs w:val="21"/>
              </w:rPr>
              <w:t>How you responded</w:t>
            </w:r>
          </w:p>
        </w:tc>
        <w:tc>
          <w:tcPr>
            <w:tcW w:w="1900" w:type="dxa"/>
            <w:tcBorders>
              <w:top w:val="single" w:color="D9D9D9" w:sz="4" w:space="0"/>
              <w:left w:val="single" w:color="D9D9D9" w:sz="4" w:space="0"/>
              <w:bottom w:val="single" w:color="D9D9D9" w:sz="4" w:space="0"/>
              <w:right w:val="single" w:color="D9D9D9" w:sz="4" w:space="0"/>
            </w:tcBorders>
            <w:shd w:val="clear" w:color="auto" w:fill="1F3864"/>
            <w:tcMar>
              <w:top w:w="60" w:type="dxa"/>
              <w:left w:w="110" w:type="dxa"/>
              <w:bottom w:w="60" w:type="dxa"/>
              <w:right w:w="110" w:type="dxa"/>
            </w:tcMar>
            <w:vAlign w:val="center"/>
          </w:tcPr>
          <w:p w:rsidR="004E2066" w:rsidRDefault="00000000" w14:paraId="690790C3" w14:textId="77777777">
            <w:r>
              <w:rPr>
                <w:b/>
                <w:bCs/>
                <w:color w:val="FFFFFF"/>
                <w:sz w:val="21"/>
                <w:szCs w:val="21"/>
              </w:rPr>
              <w:t>Outcome</w:t>
            </w:r>
          </w:p>
        </w:tc>
      </w:tr>
      <w:tr w:rsidR="004E2066" w14:paraId="690790C9" w14:textId="77777777">
        <w:tblPrEx>
          <w:tblCellMar>
            <w:top w:w="0" w:type="dxa"/>
            <w:bottom w:w="0" w:type="dxa"/>
          </w:tblCellMar>
        </w:tblPrEx>
        <w:tc>
          <w:tcPr>
            <w:tcW w:w="1100" w:type="dxa"/>
            <w:tcBorders>
              <w:top w:val="single" w:color="D9D9D9" w:sz="4" w:space="0"/>
              <w:left w:val="single" w:color="D9D9D9" w:sz="4" w:space="0"/>
              <w:bottom w:val="single" w:color="D9D9D9" w:sz="4" w:space="0"/>
              <w:right w:val="single" w:color="D9D9D9" w:sz="4" w:space="0"/>
            </w:tcBorders>
            <w:tcMar>
              <w:top w:w="140" w:type="dxa"/>
              <w:left w:w="110" w:type="dxa"/>
              <w:bottom w:w="140" w:type="dxa"/>
              <w:right w:w="110" w:type="dxa"/>
            </w:tcMar>
          </w:tcPr>
          <w:p w:rsidR="004E2066" w:rsidRDefault="004E2066" w14:paraId="690790C5" w14:textId="77777777"/>
        </w:tc>
        <w:tc>
          <w:tcPr>
            <w:tcW w:w="3000" w:type="dxa"/>
            <w:tcBorders>
              <w:top w:val="single" w:color="D9D9D9" w:sz="4" w:space="0"/>
              <w:left w:val="single" w:color="D9D9D9" w:sz="4" w:space="0"/>
              <w:bottom w:val="single" w:color="D9D9D9" w:sz="4" w:space="0"/>
              <w:right w:val="single" w:color="D9D9D9" w:sz="4" w:space="0"/>
            </w:tcBorders>
            <w:tcMar>
              <w:top w:w="140" w:type="dxa"/>
              <w:left w:w="110" w:type="dxa"/>
              <w:bottom w:w="140" w:type="dxa"/>
              <w:right w:w="110" w:type="dxa"/>
            </w:tcMar>
          </w:tcPr>
          <w:p w:rsidR="004E2066" w:rsidRDefault="004E2066" w14:paraId="690790C6" w14:textId="77777777"/>
        </w:tc>
        <w:tc>
          <w:tcPr>
            <w:tcW w:w="3360" w:type="dxa"/>
            <w:tcBorders>
              <w:top w:val="single" w:color="D9D9D9" w:sz="4" w:space="0"/>
              <w:left w:val="single" w:color="D9D9D9" w:sz="4" w:space="0"/>
              <w:bottom w:val="single" w:color="D9D9D9" w:sz="4" w:space="0"/>
              <w:right w:val="single" w:color="D9D9D9" w:sz="4" w:space="0"/>
            </w:tcBorders>
            <w:tcMar>
              <w:top w:w="140" w:type="dxa"/>
              <w:left w:w="110" w:type="dxa"/>
              <w:bottom w:w="140" w:type="dxa"/>
              <w:right w:w="110" w:type="dxa"/>
            </w:tcMar>
          </w:tcPr>
          <w:p w:rsidR="004E2066" w:rsidRDefault="004E2066" w14:paraId="690790C7" w14:textId="77777777"/>
        </w:tc>
        <w:tc>
          <w:tcPr>
            <w:tcW w:w="1900" w:type="dxa"/>
            <w:tcBorders>
              <w:top w:val="single" w:color="D9D9D9" w:sz="4" w:space="0"/>
              <w:left w:val="single" w:color="D9D9D9" w:sz="4" w:space="0"/>
              <w:bottom w:val="single" w:color="D9D9D9" w:sz="4" w:space="0"/>
              <w:right w:val="single" w:color="D9D9D9" w:sz="4" w:space="0"/>
            </w:tcBorders>
            <w:tcMar>
              <w:top w:w="140" w:type="dxa"/>
              <w:left w:w="110" w:type="dxa"/>
              <w:bottom w:w="140" w:type="dxa"/>
              <w:right w:w="110" w:type="dxa"/>
            </w:tcMar>
          </w:tcPr>
          <w:p w:rsidR="004E2066" w:rsidRDefault="004E2066" w14:paraId="690790C8" w14:textId="77777777"/>
        </w:tc>
      </w:tr>
      <w:tr w:rsidR="004E2066" w14:paraId="690790CE" w14:textId="77777777">
        <w:tblPrEx>
          <w:tblCellMar>
            <w:top w:w="0" w:type="dxa"/>
            <w:bottom w:w="0" w:type="dxa"/>
          </w:tblCellMar>
        </w:tblPrEx>
        <w:tc>
          <w:tcPr>
            <w:tcW w:w="1100" w:type="dxa"/>
            <w:tcBorders>
              <w:top w:val="single" w:color="D9D9D9" w:sz="4" w:space="0"/>
              <w:left w:val="single" w:color="D9D9D9" w:sz="4" w:space="0"/>
              <w:bottom w:val="single" w:color="D9D9D9" w:sz="4" w:space="0"/>
              <w:right w:val="single" w:color="D9D9D9" w:sz="4" w:space="0"/>
            </w:tcBorders>
            <w:tcMar>
              <w:top w:w="140" w:type="dxa"/>
              <w:left w:w="110" w:type="dxa"/>
              <w:bottom w:w="140" w:type="dxa"/>
              <w:right w:w="110" w:type="dxa"/>
            </w:tcMar>
          </w:tcPr>
          <w:p w:rsidR="004E2066" w:rsidRDefault="004E2066" w14:paraId="690790CA" w14:textId="77777777"/>
        </w:tc>
        <w:tc>
          <w:tcPr>
            <w:tcW w:w="3000" w:type="dxa"/>
            <w:tcBorders>
              <w:top w:val="single" w:color="D9D9D9" w:sz="4" w:space="0"/>
              <w:left w:val="single" w:color="D9D9D9" w:sz="4" w:space="0"/>
              <w:bottom w:val="single" w:color="D9D9D9" w:sz="4" w:space="0"/>
              <w:right w:val="single" w:color="D9D9D9" w:sz="4" w:space="0"/>
            </w:tcBorders>
            <w:tcMar>
              <w:top w:w="140" w:type="dxa"/>
              <w:left w:w="110" w:type="dxa"/>
              <w:bottom w:w="140" w:type="dxa"/>
              <w:right w:w="110" w:type="dxa"/>
            </w:tcMar>
          </w:tcPr>
          <w:p w:rsidR="004E2066" w:rsidRDefault="004E2066" w14:paraId="690790CB" w14:textId="77777777"/>
        </w:tc>
        <w:tc>
          <w:tcPr>
            <w:tcW w:w="3360" w:type="dxa"/>
            <w:tcBorders>
              <w:top w:val="single" w:color="D9D9D9" w:sz="4" w:space="0"/>
              <w:left w:val="single" w:color="D9D9D9" w:sz="4" w:space="0"/>
              <w:bottom w:val="single" w:color="D9D9D9" w:sz="4" w:space="0"/>
              <w:right w:val="single" w:color="D9D9D9" w:sz="4" w:space="0"/>
            </w:tcBorders>
            <w:tcMar>
              <w:top w:w="140" w:type="dxa"/>
              <w:left w:w="110" w:type="dxa"/>
              <w:bottom w:w="140" w:type="dxa"/>
              <w:right w:w="110" w:type="dxa"/>
            </w:tcMar>
          </w:tcPr>
          <w:p w:rsidR="004E2066" w:rsidRDefault="004E2066" w14:paraId="690790CC" w14:textId="77777777"/>
        </w:tc>
        <w:tc>
          <w:tcPr>
            <w:tcW w:w="1900" w:type="dxa"/>
            <w:tcBorders>
              <w:top w:val="single" w:color="D9D9D9" w:sz="4" w:space="0"/>
              <w:left w:val="single" w:color="D9D9D9" w:sz="4" w:space="0"/>
              <w:bottom w:val="single" w:color="D9D9D9" w:sz="4" w:space="0"/>
              <w:right w:val="single" w:color="D9D9D9" w:sz="4" w:space="0"/>
            </w:tcBorders>
            <w:tcMar>
              <w:top w:w="140" w:type="dxa"/>
              <w:left w:w="110" w:type="dxa"/>
              <w:bottom w:w="140" w:type="dxa"/>
              <w:right w:w="110" w:type="dxa"/>
            </w:tcMar>
          </w:tcPr>
          <w:p w:rsidR="004E2066" w:rsidRDefault="004E2066" w14:paraId="690790CD" w14:textId="77777777"/>
        </w:tc>
      </w:tr>
      <w:tr w:rsidR="004E2066" w14:paraId="690790D3" w14:textId="77777777">
        <w:tblPrEx>
          <w:tblCellMar>
            <w:top w:w="0" w:type="dxa"/>
            <w:bottom w:w="0" w:type="dxa"/>
          </w:tblCellMar>
        </w:tblPrEx>
        <w:tc>
          <w:tcPr>
            <w:tcW w:w="1100" w:type="dxa"/>
            <w:tcBorders>
              <w:top w:val="single" w:color="D9D9D9" w:sz="4" w:space="0"/>
              <w:left w:val="single" w:color="D9D9D9" w:sz="4" w:space="0"/>
              <w:bottom w:val="single" w:color="D9D9D9" w:sz="4" w:space="0"/>
              <w:right w:val="single" w:color="D9D9D9" w:sz="4" w:space="0"/>
            </w:tcBorders>
            <w:tcMar>
              <w:top w:w="140" w:type="dxa"/>
              <w:left w:w="110" w:type="dxa"/>
              <w:bottom w:w="140" w:type="dxa"/>
              <w:right w:w="110" w:type="dxa"/>
            </w:tcMar>
          </w:tcPr>
          <w:p w:rsidR="004E2066" w:rsidRDefault="004E2066" w14:paraId="690790CF" w14:textId="77777777"/>
        </w:tc>
        <w:tc>
          <w:tcPr>
            <w:tcW w:w="3000" w:type="dxa"/>
            <w:tcBorders>
              <w:top w:val="single" w:color="D9D9D9" w:sz="4" w:space="0"/>
              <w:left w:val="single" w:color="D9D9D9" w:sz="4" w:space="0"/>
              <w:bottom w:val="single" w:color="D9D9D9" w:sz="4" w:space="0"/>
              <w:right w:val="single" w:color="D9D9D9" w:sz="4" w:space="0"/>
            </w:tcBorders>
            <w:tcMar>
              <w:top w:w="140" w:type="dxa"/>
              <w:left w:w="110" w:type="dxa"/>
              <w:bottom w:w="140" w:type="dxa"/>
              <w:right w:w="110" w:type="dxa"/>
            </w:tcMar>
          </w:tcPr>
          <w:p w:rsidR="004E2066" w:rsidRDefault="004E2066" w14:paraId="690790D0" w14:textId="77777777"/>
        </w:tc>
        <w:tc>
          <w:tcPr>
            <w:tcW w:w="3360" w:type="dxa"/>
            <w:tcBorders>
              <w:top w:val="single" w:color="D9D9D9" w:sz="4" w:space="0"/>
              <w:left w:val="single" w:color="D9D9D9" w:sz="4" w:space="0"/>
              <w:bottom w:val="single" w:color="D9D9D9" w:sz="4" w:space="0"/>
              <w:right w:val="single" w:color="D9D9D9" w:sz="4" w:space="0"/>
            </w:tcBorders>
            <w:tcMar>
              <w:top w:w="140" w:type="dxa"/>
              <w:left w:w="110" w:type="dxa"/>
              <w:bottom w:w="140" w:type="dxa"/>
              <w:right w:w="110" w:type="dxa"/>
            </w:tcMar>
          </w:tcPr>
          <w:p w:rsidR="004E2066" w:rsidRDefault="004E2066" w14:paraId="690790D1" w14:textId="77777777"/>
        </w:tc>
        <w:tc>
          <w:tcPr>
            <w:tcW w:w="1900" w:type="dxa"/>
            <w:tcBorders>
              <w:top w:val="single" w:color="D9D9D9" w:sz="4" w:space="0"/>
              <w:left w:val="single" w:color="D9D9D9" w:sz="4" w:space="0"/>
              <w:bottom w:val="single" w:color="D9D9D9" w:sz="4" w:space="0"/>
              <w:right w:val="single" w:color="D9D9D9" w:sz="4" w:space="0"/>
            </w:tcBorders>
            <w:tcMar>
              <w:top w:w="140" w:type="dxa"/>
              <w:left w:w="110" w:type="dxa"/>
              <w:bottom w:w="140" w:type="dxa"/>
              <w:right w:w="110" w:type="dxa"/>
            </w:tcMar>
          </w:tcPr>
          <w:p w:rsidR="004E2066" w:rsidRDefault="004E2066" w14:paraId="690790D2" w14:textId="77777777"/>
        </w:tc>
      </w:tr>
      <w:tr w:rsidR="004E2066" w14:paraId="690790D8" w14:textId="77777777">
        <w:tblPrEx>
          <w:tblCellMar>
            <w:top w:w="0" w:type="dxa"/>
            <w:bottom w:w="0" w:type="dxa"/>
          </w:tblCellMar>
        </w:tblPrEx>
        <w:tc>
          <w:tcPr>
            <w:tcW w:w="1100" w:type="dxa"/>
            <w:tcBorders>
              <w:top w:val="single" w:color="D9D9D9" w:sz="4" w:space="0"/>
              <w:left w:val="single" w:color="D9D9D9" w:sz="4" w:space="0"/>
              <w:bottom w:val="single" w:color="D9D9D9" w:sz="4" w:space="0"/>
              <w:right w:val="single" w:color="D9D9D9" w:sz="4" w:space="0"/>
            </w:tcBorders>
            <w:tcMar>
              <w:top w:w="140" w:type="dxa"/>
              <w:left w:w="110" w:type="dxa"/>
              <w:bottom w:w="140" w:type="dxa"/>
              <w:right w:w="110" w:type="dxa"/>
            </w:tcMar>
          </w:tcPr>
          <w:p w:rsidR="004E2066" w:rsidRDefault="004E2066" w14:paraId="690790D4" w14:textId="77777777"/>
        </w:tc>
        <w:tc>
          <w:tcPr>
            <w:tcW w:w="3000" w:type="dxa"/>
            <w:tcBorders>
              <w:top w:val="single" w:color="D9D9D9" w:sz="4" w:space="0"/>
              <w:left w:val="single" w:color="D9D9D9" w:sz="4" w:space="0"/>
              <w:bottom w:val="single" w:color="D9D9D9" w:sz="4" w:space="0"/>
              <w:right w:val="single" w:color="D9D9D9" w:sz="4" w:space="0"/>
            </w:tcBorders>
            <w:tcMar>
              <w:top w:w="140" w:type="dxa"/>
              <w:left w:w="110" w:type="dxa"/>
              <w:bottom w:w="140" w:type="dxa"/>
              <w:right w:w="110" w:type="dxa"/>
            </w:tcMar>
          </w:tcPr>
          <w:p w:rsidR="004E2066" w:rsidRDefault="004E2066" w14:paraId="690790D5" w14:textId="77777777"/>
        </w:tc>
        <w:tc>
          <w:tcPr>
            <w:tcW w:w="3360" w:type="dxa"/>
            <w:tcBorders>
              <w:top w:val="single" w:color="D9D9D9" w:sz="4" w:space="0"/>
              <w:left w:val="single" w:color="D9D9D9" w:sz="4" w:space="0"/>
              <w:bottom w:val="single" w:color="D9D9D9" w:sz="4" w:space="0"/>
              <w:right w:val="single" w:color="D9D9D9" w:sz="4" w:space="0"/>
            </w:tcBorders>
            <w:tcMar>
              <w:top w:w="140" w:type="dxa"/>
              <w:left w:w="110" w:type="dxa"/>
              <w:bottom w:w="140" w:type="dxa"/>
              <w:right w:w="110" w:type="dxa"/>
            </w:tcMar>
          </w:tcPr>
          <w:p w:rsidR="004E2066" w:rsidRDefault="004E2066" w14:paraId="690790D6" w14:textId="77777777"/>
        </w:tc>
        <w:tc>
          <w:tcPr>
            <w:tcW w:w="1900" w:type="dxa"/>
            <w:tcBorders>
              <w:top w:val="single" w:color="D9D9D9" w:sz="4" w:space="0"/>
              <w:left w:val="single" w:color="D9D9D9" w:sz="4" w:space="0"/>
              <w:bottom w:val="single" w:color="D9D9D9" w:sz="4" w:space="0"/>
              <w:right w:val="single" w:color="D9D9D9" w:sz="4" w:space="0"/>
            </w:tcBorders>
            <w:tcMar>
              <w:top w:w="140" w:type="dxa"/>
              <w:left w:w="110" w:type="dxa"/>
              <w:bottom w:w="140" w:type="dxa"/>
              <w:right w:w="110" w:type="dxa"/>
            </w:tcMar>
          </w:tcPr>
          <w:p w:rsidR="004E2066" w:rsidRDefault="004E2066" w14:paraId="690790D7" w14:textId="77777777"/>
        </w:tc>
      </w:tr>
      <w:tr w:rsidR="004E2066" w14:paraId="690790DD" w14:textId="77777777">
        <w:tblPrEx>
          <w:tblCellMar>
            <w:top w:w="0" w:type="dxa"/>
            <w:bottom w:w="0" w:type="dxa"/>
          </w:tblCellMar>
        </w:tblPrEx>
        <w:tc>
          <w:tcPr>
            <w:tcW w:w="1100" w:type="dxa"/>
            <w:tcBorders>
              <w:top w:val="single" w:color="D9D9D9" w:sz="4" w:space="0"/>
              <w:left w:val="single" w:color="D9D9D9" w:sz="4" w:space="0"/>
              <w:bottom w:val="single" w:color="D9D9D9" w:sz="4" w:space="0"/>
              <w:right w:val="single" w:color="D9D9D9" w:sz="4" w:space="0"/>
            </w:tcBorders>
            <w:tcMar>
              <w:top w:w="140" w:type="dxa"/>
              <w:left w:w="110" w:type="dxa"/>
              <w:bottom w:w="140" w:type="dxa"/>
              <w:right w:w="110" w:type="dxa"/>
            </w:tcMar>
          </w:tcPr>
          <w:p w:rsidR="004E2066" w:rsidRDefault="004E2066" w14:paraId="690790D9" w14:textId="77777777"/>
        </w:tc>
        <w:tc>
          <w:tcPr>
            <w:tcW w:w="3000" w:type="dxa"/>
            <w:tcBorders>
              <w:top w:val="single" w:color="D9D9D9" w:sz="4" w:space="0"/>
              <w:left w:val="single" w:color="D9D9D9" w:sz="4" w:space="0"/>
              <w:bottom w:val="single" w:color="D9D9D9" w:sz="4" w:space="0"/>
              <w:right w:val="single" w:color="D9D9D9" w:sz="4" w:space="0"/>
            </w:tcBorders>
            <w:tcMar>
              <w:top w:w="140" w:type="dxa"/>
              <w:left w:w="110" w:type="dxa"/>
              <w:bottom w:w="140" w:type="dxa"/>
              <w:right w:w="110" w:type="dxa"/>
            </w:tcMar>
          </w:tcPr>
          <w:p w:rsidR="004E2066" w:rsidRDefault="004E2066" w14:paraId="690790DA" w14:textId="77777777"/>
        </w:tc>
        <w:tc>
          <w:tcPr>
            <w:tcW w:w="3360" w:type="dxa"/>
            <w:tcBorders>
              <w:top w:val="single" w:color="D9D9D9" w:sz="4" w:space="0"/>
              <w:left w:val="single" w:color="D9D9D9" w:sz="4" w:space="0"/>
              <w:bottom w:val="single" w:color="D9D9D9" w:sz="4" w:space="0"/>
              <w:right w:val="single" w:color="D9D9D9" w:sz="4" w:space="0"/>
            </w:tcBorders>
            <w:tcMar>
              <w:top w:w="140" w:type="dxa"/>
              <w:left w:w="110" w:type="dxa"/>
              <w:bottom w:w="140" w:type="dxa"/>
              <w:right w:w="110" w:type="dxa"/>
            </w:tcMar>
          </w:tcPr>
          <w:p w:rsidR="004E2066" w:rsidRDefault="004E2066" w14:paraId="690790DB" w14:textId="77777777"/>
        </w:tc>
        <w:tc>
          <w:tcPr>
            <w:tcW w:w="1900" w:type="dxa"/>
            <w:tcBorders>
              <w:top w:val="single" w:color="D9D9D9" w:sz="4" w:space="0"/>
              <w:left w:val="single" w:color="D9D9D9" w:sz="4" w:space="0"/>
              <w:bottom w:val="single" w:color="D9D9D9" w:sz="4" w:space="0"/>
              <w:right w:val="single" w:color="D9D9D9" w:sz="4" w:space="0"/>
            </w:tcBorders>
            <w:tcMar>
              <w:top w:w="140" w:type="dxa"/>
              <w:left w:w="110" w:type="dxa"/>
              <w:bottom w:w="140" w:type="dxa"/>
              <w:right w:w="110" w:type="dxa"/>
            </w:tcMar>
          </w:tcPr>
          <w:p w:rsidR="004E2066" w:rsidRDefault="004E2066" w14:paraId="690790DC" w14:textId="77777777"/>
        </w:tc>
      </w:tr>
      <w:tr w:rsidR="004E2066" w14:paraId="690790E2" w14:textId="77777777">
        <w:tblPrEx>
          <w:tblCellMar>
            <w:top w:w="0" w:type="dxa"/>
            <w:bottom w:w="0" w:type="dxa"/>
          </w:tblCellMar>
        </w:tblPrEx>
        <w:tc>
          <w:tcPr>
            <w:tcW w:w="1100" w:type="dxa"/>
            <w:tcBorders>
              <w:top w:val="single" w:color="D9D9D9" w:sz="4" w:space="0"/>
              <w:left w:val="single" w:color="D9D9D9" w:sz="4" w:space="0"/>
              <w:bottom w:val="single" w:color="D9D9D9" w:sz="4" w:space="0"/>
              <w:right w:val="single" w:color="D9D9D9" w:sz="4" w:space="0"/>
            </w:tcBorders>
            <w:tcMar>
              <w:top w:w="140" w:type="dxa"/>
              <w:left w:w="110" w:type="dxa"/>
              <w:bottom w:w="140" w:type="dxa"/>
              <w:right w:w="110" w:type="dxa"/>
            </w:tcMar>
          </w:tcPr>
          <w:p w:rsidR="004E2066" w:rsidRDefault="004E2066" w14:paraId="690790DE" w14:textId="77777777"/>
        </w:tc>
        <w:tc>
          <w:tcPr>
            <w:tcW w:w="3000" w:type="dxa"/>
            <w:tcBorders>
              <w:top w:val="single" w:color="D9D9D9" w:sz="4" w:space="0"/>
              <w:left w:val="single" w:color="D9D9D9" w:sz="4" w:space="0"/>
              <w:bottom w:val="single" w:color="D9D9D9" w:sz="4" w:space="0"/>
              <w:right w:val="single" w:color="D9D9D9" w:sz="4" w:space="0"/>
            </w:tcBorders>
            <w:tcMar>
              <w:top w:w="140" w:type="dxa"/>
              <w:left w:w="110" w:type="dxa"/>
              <w:bottom w:w="140" w:type="dxa"/>
              <w:right w:w="110" w:type="dxa"/>
            </w:tcMar>
          </w:tcPr>
          <w:p w:rsidR="004E2066" w:rsidRDefault="004E2066" w14:paraId="690790DF" w14:textId="77777777"/>
        </w:tc>
        <w:tc>
          <w:tcPr>
            <w:tcW w:w="3360" w:type="dxa"/>
            <w:tcBorders>
              <w:top w:val="single" w:color="D9D9D9" w:sz="4" w:space="0"/>
              <w:left w:val="single" w:color="D9D9D9" w:sz="4" w:space="0"/>
              <w:bottom w:val="single" w:color="D9D9D9" w:sz="4" w:space="0"/>
              <w:right w:val="single" w:color="D9D9D9" w:sz="4" w:space="0"/>
            </w:tcBorders>
            <w:tcMar>
              <w:top w:w="140" w:type="dxa"/>
              <w:left w:w="110" w:type="dxa"/>
              <w:bottom w:w="140" w:type="dxa"/>
              <w:right w:w="110" w:type="dxa"/>
            </w:tcMar>
          </w:tcPr>
          <w:p w:rsidR="004E2066" w:rsidRDefault="004E2066" w14:paraId="690790E0" w14:textId="77777777"/>
        </w:tc>
        <w:tc>
          <w:tcPr>
            <w:tcW w:w="1900" w:type="dxa"/>
            <w:tcBorders>
              <w:top w:val="single" w:color="D9D9D9" w:sz="4" w:space="0"/>
              <w:left w:val="single" w:color="D9D9D9" w:sz="4" w:space="0"/>
              <w:bottom w:val="single" w:color="D9D9D9" w:sz="4" w:space="0"/>
              <w:right w:val="single" w:color="D9D9D9" w:sz="4" w:space="0"/>
            </w:tcBorders>
            <w:tcMar>
              <w:top w:w="140" w:type="dxa"/>
              <w:left w:w="110" w:type="dxa"/>
              <w:bottom w:w="140" w:type="dxa"/>
              <w:right w:w="110" w:type="dxa"/>
            </w:tcMar>
          </w:tcPr>
          <w:p w:rsidR="004E2066" w:rsidRDefault="004E2066" w14:paraId="690790E1" w14:textId="77777777"/>
        </w:tc>
      </w:tr>
    </w:tbl>
    <w:p w:rsidR="004E2066" w:rsidRDefault="00000000" w14:paraId="690790E3" w14:textId="5026808C">
      <w:pPr>
        <w:spacing w:before="240" w:after="90"/>
      </w:pPr>
      <w:r w:rsidRPr="1B57CD43" w:rsidR="49A8F76C">
        <w:rPr>
          <w:b w:val="1"/>
          <w:bCs w:val="1"/>
          <w:color w:val="2E74B5" w:themeColor="accent5" w:themeTint="FF" w:themeShade="BF"/>
          <w:sz w:val="24"/>
          <w:szCs w:val="24"/>
        </w:rPr>
        <w:t xml:space="preserve">Section 5: Performance </w:t>
      </w:r>
      <w:r w:rsidRPr="1B57CD43" w:rsidR="348871CD">
        <w:rPr>
          <w:b w:val="1"/>
          <w:bCs w:val="1"/>
          <w:color w:val="2E74B5" w:themeColor="accent5" w:themeTint="FF" w:themeShade="BF"/>
          <w:sz w:val="24"/>
          <w:szCs w:val="24"/>
        </w:rPr>
        <w:t>m</w:t>
      </w:r>
      <w:r w:rsidRPr="1B57CD43" w:rsidR="49A8F76C">
        <w:rPr>
          <w:b w:val="1"/>
          <w:bCs w:val="1"/>
          <w:color w:val="2E74B5" w:themeColor="accent5" w:themeTint="FF" w:themeShade="BF"/>
          <w:sz w:val="24"/>
          <w:szCs w:val="24"/>
        </w:rPr>
        <w:t>etrics</w:t>
      </w:r>
    </w:p>
    <w:p w:rsidR="004E2066" w:rsidRDefault="00000000" w14:paraId="690790E4" w14:textId="77777777">
      <w:pPr>
        <w:spacing w:after="120" w:line="276" w:lineRule="auto"/>
      </w:pPr>
      <w:r>
        <w:rPr>
          <w:b/>
          <w:bCs/>
        </w:rPr>
        <w:t xml:space="preserve">Purpose: </w:t>
      </w:r>
      <w:r>
        <w:t>Review your log periodically and fill in your numbers. These few metrics measure your objection-handling success over time.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900"/>
        <w:gridCol w:w="4160"/>
        <w:gridCol w:w="2300"/>
      </w:tblGrid>
      <w:tr w:rsidR="004E2066" w14:paraId="690790E8" w14:textId="77777777">
        <w:tblPrEx>
          <w:tblCellMar>
            <w:top w:w="0" w:type="dxa"/>
            <w:bottom w:w="0" w:type="dxa"/>
          </w:tblCellMar>
        </w:tblPrEx>
        <w:trPr>
          <w:tblHeader/>
        </w:trPr>
        <w:tc>
          <w:tcPr>
            <w:tcW w:w="2900" w:type="dxa"/>
            <w:tcBorders>
              <w:top w:val="single" w:color="D9D9D9" w:sz="4" w:space="0"/>
              <w:left w:val="single" w:color="D9D9D9" w:sz="4" w:space="0"/>
              <w:bottom w:val="single" w:color="D9D9D9" w:sz="4" w:space="0"/>
              <w:right w:val="single" w:color="D9D9D9" w:sz="4" w:space="0"/>
            </w:tcBorders>
            <w:shd w:val="clear" w:color="auto" w:fill="1F3864"/>
            <w:tcMar>
              <w:top w:w="60" w:type="dxa"/>
              <w:left w:w="110" w:type="dxa"/>
              <w:bottom w:w="60" w:type="dxa"/>
              <w:right w:w="110" w:type="dxa"/>
            </w:tcMar>
            <w:vAlign w:val="center"/>
          </w:tcPr>
          <w:p w:rsidR="004E2066" w:rsidRDefault="00000000" w14:paraId="690790E5" w14:textId="77777777">
            <w:r>
              <w:rPr>
                <w:b/>
                <w:bCs/>
                <w:color w:val="FFFFFF"/>
                <w:sz w:val="21"/>
                <w:szCs w:val="21"/>
              </w:rPr>
              <w:t>Metric</w:t>
            </w:r>
          </w:p>
        </w:tc>
        <w:tc>
          <w:tcPr>
            <w:tcW w:w="4160" w:type="dxa"/>
            <w:tcBorders>
              <w:top w:val="single" w:color="D9D9D9" w:sz="4" w:space="0"/>
              <w:left w:val="single" w:color="D9D9D9" w:sz="4" w:space="0"/>
              <w:bottom w:val="single" w:color="D9D9D9" w:sz="4" w:space="0"/>
              <w:right w:val="single" w:color="D9D9D9" w:sz="4" w:space="0"/>
            </w:tcBorders>
            <w:shd w:val="clear" w:color="auto" w:fill="1F3864"/>
            <w:tcMar>
              <w:top w:w="60" w:type="dxa"/>
              <w:left w:w="110" w:type="dxa"/>
              <w:bottom w:w="60" w:type="dxa"/>
              <w:right w:w="110" w:type="dxa"/>
            </w:tcMar>
            <w:vAlign w:val="center"/>
          </w:tcPr>
          <w:p w:rsidR="004E2066" w:rsidRDefault="00000000" w14:paraId="690790E6" w14:textId="77777777">
            <w:r>
              <w:rPr>
                <w:b/>
                <w:bCs/>
                <w:color w:val="FFFFFF"/>
                <w:sz w:val="21"/>
                <w:szCs w:val="21"/>
              </w:rPr>
              <w:t>What it tells you</w:t>
            </w:r>
          </w:p>
        </w:tc>
        <w:tc>
          <w:tcPr>
            <w:tcW w:w="2300" w:type="dxa"/>
            <w:tcBorders>
              <w:top w:val="single" w:color="D9D9D9" w:sz="4" w:space="0"/>
              <w:left w:val="single" w:color="D9D9D9" w:sz="4" w:space="0"/>
              <w:bottom w:val="single" w:color="D9D9D9" w:sz="4" w:space="0"/>
              <w:right w:val="single" w:color="D9D9D9" w:sz="4" w:space="0"/>
            </w:tcBorders>
            <w:shd w:val="clear" w:color="auto" w:fill="1F3864"/>
            <w:tcMar>
              <w:top w:w="60" w:type="dxa"/>
              <w:left w:w="110" w:type="dxa"/>
              <w:bottom w:w="60" w:type="dxa"/>
              <w:right w:w="110" w:type="dxa"/>
            </w:tcMar>
            <w:vAlign w:val="center"/>
          </w:tcPr>
          <w:p w:rsidR="004E2066" w:rsidRDefault="00000000" w14:paraId="690790E7" w14:textId="77777777">
            <w:r>
              <w:rPr>
                <w:b/>
                <w:bCs/>
                <w:color w:val="FFFFFF"/>
                <w:sz w:val="21"/>
                <w:szCs w:val="21"/>
              </w:rPr>
              <w:t>Your number</w:t>
            </w:r>
          </w:p>
        </w:tc>
      </w:tr>
      <w:tr w:rsidR="004E2066" w14:paraId="690790EC" w14:textId="77777777">
        <w:tblPrEx>
          <w:tblCellMar>
            <w:top w:w="0" w:type="dxa"/>
            <w:bottom w:w="0" w:type="dxa"/>
          </w:tblCellMar>
        </w:tblPrEx>
        <w:tc>
          <w:tcPr>
            <w:tcW w:w="2900" w:type="dxa"/>
            <w:tcBorders>
              <w:top w:val="single" w:color="D9D9D9" w:sz="4" w:space="0"/>
              <w:left w:val="single" w:color="D9D9D9" w:sz="4" w:space="0"/>
              <w:bottom w:val="single" w:color="D9D9D9" w:sz="4" w:space="0"/>
              <w:right w:val="single" w:color="D9D9D9" w:sz="4" w:space="0"/>
            </w:tcBorders>
            <w:tcMar>
              <w:top w:w="70" w:type="dxa"/>
              <w:left w:w="110" w:type="dxa"/>
              <w:bottom w:w="70" w:type="dxa"/>
              <w:right w:w="110" w:type="dxa"/>
            </w:tcMar>
          </w:tcPr>
          <w:p w:rsidR="004E2066" w:rsidRDefault="00000000" w14:paraId="690790E9" w14:textId="77777777">
            <w:pPr>
              <w:spacing w:line="264" w:lineRule="auto"/>
            </w:pPr>
            <w:r>
              <w:rPr>
                <w:b/>
                <w:bCs/>
                <w:color w:val="1F3864"/>
                <w:sz w:val="21"/>
                <w:szCs w:val="21"/>
              </w:rPr>
              <w:t>Most common objection type</w:t>
            </w:r>
          </w:p>
        </w:tc>
        <w:tc>
          <w:tcPr>
            <w:tcW w:w="4160" w:type="dxa"/>
            <w:tcBorders>
              <w:top w:val="single" w:color="D9D9D9" w:sz="4" w:space="0"/>
              <w:left w:val="single" w:color="D9D9D9" w:sz="4" w:space="0"/>
              <w:bottom w:val="single" w:color="D9D9D9" w:sz="4" w:space="0"/>
              <w:right w:val="single" w:color="D9D9D9" w:sz="4" w:space="0"/>
            </w:tcBorders>
            <w:tcMar>
              <w:top w:w="70" w:type="dxa"/>
              <w:left w:w="110" w:type="dxa"/>
              <w:bottom w:w="70" w:type="dxa"/>
              <w:right w:w="110" w:type="dxa"/>
            </w:tcMar>
          </w:tcPr>
          <w:p w:rsidR="004E2066" w:rsidRDefault="00000000" w14:paraId="690790EA" w14:textId="77777777">
            <w:pPr>
              <w:spacing w:line="264" w:lineRule="auto"/>
            </w:pPr>
            <w:r>
              <w:rPr>
                <w:sz w:val="21"/>
                <w:szCs w:val="21"/>
              </w:rPr>
              <w:t>Where to focus your preparation.</w:t>
            </w:r>
          </w:p>
        </w:tc>
        <w:tc>
          <w:tcPr>
            <w:tcW w:w="2300" w:type="dxa"/>
            <w:tcBorders>
              <w:top w:val="single" w:color="D9D9D9" w:sz="4" w:space="0"/>
              <w:left w:val="single" w:color="D9D9D9" w:sz="4" w:space="0"/>
              <w:bottom w:val="single" w:color="D9D9D9" w:sz="4" w:space="0"/>
              <w:right w:val="single" w:color="D9D9D9" w:sz="4" w:space="0"/>
            </w:tcBorders>
            <w:tcMar>
              <w:top w:w="70" w:type="dxa"/>
              <w:left w:w="110" w:type="dxa"/>
              <w:bottom w:w="70" w:type="dxa"/>
              <w:right w:w="110" w:type="dxa"/>
            </w:tcMar>
          </w:tcPr>
          <w:p w:rsidR="004E2066" w:rsidRDefault="004E2066" w14:paraId="690790EB" w14:textId="77777777">
            <w:pPr>
              <w:spacing w:line="264" w:lineRule="auto"/>
            </w:pPr>
          </w:p>
        </w:tc>
      </w:tr>
      <w:tr w:rsidR="004E2066" w14:paraId="690790F0" w14:textId="77777777">
        <w:tblPrEx>
          <w:tblCellMar>
            <w:top w:w="0" w:type="dxa"/>
            <w:bottom w:w="0" w:type="dxa"/>
          </w:tblCellMar>
        </w:tblPrEx>
        <w:tc>
          <w:tcPr>
            <w:tcW w:w="2900" w:type="dxa"/>
            <w:tcBorders>
              <w:top w:val="single" w:color="D9D9D9" w:sz="4" w:space="0"/>
              <w:left w:val="single" w:color="D9D9D9" w:sz="4" w:space="0"/>
              <w:bottom w:val="single" w:color="D9D9D9" w:sz="4" w:space="0"/>
              <w:right w:val="single" w:color="D9D9D9" w:sz="4" w:space="0"/>
            </w:tcBorders>
            <w:shd w:val="clear" w:color="auto" w:fill="F2F5FA"/>
            <w:tcMar>
              <w:top w:w="70" w:type="dxa"/>
              <w:left w:w="110" w:type="dxa"/>
              <w:bottom w:w="70" w:type="dxa"/>
              <w:right w:w="110" w:type="dxa"/>
            </w:tcMar>
          </w:tcPr>
          <w:p w:rsidR="004E2066" w:rsidRDefault="00000000" w14:paraId="690790ED" w14:textId="77777777">
            <w:pPr>
              <w:spacing w:line="264" w:lineRule="auto"/>
            </w:pPr>
            <w:r>
              <w:rPr>
                <w:b/>
                <w:bCs/>
                <w:color w:val="1F3864"/>
                <w:sz w:val="21"/>
                <w:szCs w:val="21"/>
              </w:rPr>
              <w:t>Resolution rate by type</w:t>
            </w:r>
          </w:p>
        </w:tc>
        <w:tc>
          <w:tcPr>
            <w:tcW w:w="4160" w:type="dxa"/>
            <w:tcBorders>
              <w:top w:val="single" w:color="D9D9D9" w:sz="4" w:space="0"/>
              <w:left w:val="single" w:color="D9D9D9" w:sz="4" w:space="0"/>
              <w:bottom w:val="single" w:color="D9D9D9" w:sz="4" w:space="0"/>
              <w:right w:val="single" w:color="D9D9D9" w:sz="4" w:space="0"/>
            </w:tcBorders>
            <w:shd w:val="clear" w:color="auto" w:fill="F2F5FA"/>
            <w:tcMar>
              <w:top w:w="70" w:type="dxa"/>
              <w:left w:w="110" w:type="dxa"/>
              <w:bottom w:w="70" w:type="dxa"/>
              <w:right w:w="110" w:type="dxa"/>
            </w:tcMar>
          </w:tcPr>
          <w:p w:rsidR="004E2066" w:rsidRDefault="00000000" w14:paraId="690790EE" w14:textId="77777777">
            <w:pPr>
              <w:spacing w:line="264" w:lineRule="auto"/>
            </w:pPr>
            <w:r>
              <w:rPr>
                <w:sz w:val="21"/>
                <w:szCs w:val="21"/>
              </w:rPr>
              <w:t>Which objections you handle well, and which you do not.</w:t>
            </w:r>
          </w:p>
        </w:tc>
        <w:tc>
          <w:tcPr>
            <w:tcW w:w="2300" w:type="dxa"/>
            <w:tcBorders>
              <w:top w:val="single" w:color="D9D9D9" w:sz="4" w:space="0"/>
              <w:left w:val="single" w:color="D9D9D9" w:sz="4" w:space="0"/>
              <w:bottom w:val="single" w:color="D9D9D9" w:sz="4" w:space="0"/>
              <w:right w:val="single" w:color="D9D9D9" w:sz="4" w:space="0"/>
            </w:tcBorders>
            <w:shd w:val="clear" w:color="auto" w:fill="F2F5FA"/>
            <w:tcMar>
              <w:top w:w="70" w:type="dxa"/>
              <w:left w:w="110" w:type="dxa"/>
              <w:bottom w:w="70" w:type="dxa"/>
              <w:right w:w="110" w:type="dxa"/>
            </w:tcMar>
          </w:tcPr>
          <w:p w:rsidR="004E2066" w:rsidRDefault="004E2066" w14:paraId="690790EF" w14:textId="77777777">
            <w:pPr>
              <w:spacing w:line="264" w:lineRule="auto"/>
            </w:pPr>
          </w:p>
        </w:tc>
      </w:tr>
      <w:tr w:rsidR="004E2066" w14:paraId="690790F4" w14:textId="77777777">
        <w:tblPrEx>
          <w:tblCellMar>
            <w:top w:w="0" w:type="dxa"/>
            <w:bottom w:w="0" w:type="dxa"/>
          </w:tblCellMar>
        </w:tblPrEx>
        <w:tc>
          <w:tcPr>
            <w:tcW w:w="2900" w:type="dxa"/>
            <w:tcBorders>
              <w:top w:val="single" w:color="D9D9D9" w:sz="4" w:space="0"/>
              <w:left w:val="single" w:color="D9D9D9" w:sz="4" w:space="0"/>
              <w:bottom w:val="single" w:color="D9D9D9" w:sz="4" w:space="0"/>
              <w:right w:val="single" w:color="D9D9D9" w:sz="4" w:space="0"/>
            </w:tcBorders>
            <w:tcMar>
              <w:top w:w="70" w:type="dxa"/>
              <w:left w:w="110" w:type="dxa"/>
              <w:bottom w:w="70" w:type="dxa"/>
              <w:right w:w="110" w:type="dxa"/>
            </w:tcMar>
          </w:tcPr>
          <w:p w:rsidR="004E2066" w:rsidRDefault="00000000" w14:paraId="690790F1" w14:textId="77777777">
            <w:pPr>
              <w:spacing w:line="264" w:lineRule="auto"/>
            </w:pPr>
            <w:r>
              <w:rPr>
                <w:b/>
                <w:bCs/>
                <w:color w:val="1F3864"/>
                <w:sz w:val="21"/>
                <w:szCs w:val="21"/>
              </w:rPr>
              <w:t>Conversion after an objection</w:t>
            </w:r>
          </w:p>
        </w:tc>
        <w:tc>
          <w:tcPr>
            <w:tcW w:w="4160" w:type="dxa"/>
            <w:tcBorders>
              <w:top w:val="single" w:color="D9D9D9" w:sz="4" w:space="0"/>
              <w:left w:val="single" w:color="D9D9D9" w:sz="4" w:space="0"/>
              <w:bottom w:val="single" w:color="D9D9D9" w:sz="4" w:space="0"/>
              <w:right w:val="single" w:color="D9D9D9" w:sz="4" w:space="0"/>
            </w:tcBorders>
            <w:tcMar>
              <w:top w:w="70" w:type="dxa"/>
              <w:left w:w="110" w:type="dxa"/>
              <w:bottom w:w="70" w:type="dxa"/>
              <w:right w:w="110" w:type="dxa"/>
            </w:tcMar>
          </w:tcPr>
          <w:p w:rsidR="004E2066" w:rsidRDefault="00000000" w14:paraId="690790F2" w14:textId="77777777">
            <w:pPr>
              <w:spacing w:line="264" w:lineRule="auto"/>
            </w:pPr>
            <w:r>
              <w:rPr>
                <w:sz w:val="21"/>
                <w:szCs w:val="21"/>
              </w:rPr>
              <w:t>How often an objection still leads to a win.</w:t>
            </w:r>
          </w:p>
        </w:tc>
        <w:tc>
          <w:tcPr>
            <w:tcW w:w="2300" w:type="dxa"/>
            <w:tcBorders>
              <w:top w:val="single" w:color="D9D9D9" w:sz="4" w:space="0"/>
              <w:left w:val="single" w:color="D9D9D9" w:sz="4" w:space="0"/>
              <w:bottom w:val="single" w:color="D9D9D9" w:sz="4" w:space="0"/>
              <w:right w:val="single" w:color="D9D9D9" w:sz="4" w:space="0"/>
            </w:tcBorders>
            <w:tcMar>
              <w:top w:w="70" w:type="dxa"/>
              <w:left w:w="110" w:type="dxa"/>
              <w:bottom w:w="70" w:type="dxa"/>
              <w:right w:w="110" w:type="dxa"/>
            </w:tcMar>
          </w:tcPr>
          <w:p w:rsidR="004E2066" w:rsidRDefault="004E2066" w14:paraId="690790F3" w14:textId="77777777">
            <w:pPr>
              <w:spacing w:line="264" w:lineRule="auto"/>
            </w:pPr>
          </w:p>
        </w:tc>
      </w:tr>
      <w:tr w:rsidR="004E2066" w14:paraId="690790F8" w14:textId="77777777">
        <w:tblPrEx>
          <w:tblCellMar>
            <w:top w:w="0" w:type="dxa"/>
            <w:bottom w:w="0" w:type="dxa"/>
          </w:tblCellMar>
        </w:tblPrEx>
        <w:tc>
          <w:tcPr>
            <w:tcW w:w="2900" w:type="dxa"/>
            <w:tcBorders>
              <w:top w:val="single" w:color="D9D9D9" w:sz="4" w:space="0"/>
              <w:left w:val="single" w:color="D9D9D9" w:sz="4" w:space="0"/>
              <w:bottom w:val="single" w:color="D9D9D9" w:sz="4" w:space="0"/>
              <w:right w:val="single" w:color="D9D9D9" w:sz="4" w:space="0"/>
            </w:tcBorders>
            <w:shd w:val="clear" w:color="auto" w:fill="F2F5FA"/>
            <w:tcMar>
              <w:top w:w="70" w:type="dxa"/>
              <w:left w:w="110" w:type="dxa"/>
              <w:bottom w:w="70" w:type="dxa"/>
              <w:right w:w="110" w:type="dxa"/>
            </w:tcMar>
          </w:tcPr>
          <w:p w:rsidR="004E2066" w:rsidRDefault="00000000" w14:paraId="690790F5" w14:textId="77777777">
            <w:pPr>
              <w:spacing w:line="264" w:lineRule="auto"/>
            </w:pPr>
            <w:r>
              <w:rPr>
                <w:b/>
                <w:bCs/>
                <w:color w:val="1F3864"/>
                <w:sz w:val="21"/>
                <w:szCs w:val="21"/>
              </w:rPr>
              <w:t>Framework used most</w:t>
            </w:r>
          </w:p>
        </w:tc>
        <w:tc>
          <w:tcPr>
            <w:tcW w:w="4160" w:type="dxa"/>
            <w:tcBorders>
              <w:top w:val="single" w:color="D9D9D9" w:sz="4" w:space="0"/>
              <w:left w:val="single" w:color="D9D9D9" w:sz="4" w:space="0"/>
              <w:bottom w:val="single" w:color="D9D9D9" w:sz="4" w:space="0"/>
              <w:right w:val="single" w:color="D9D9D9" w:sz="4" w:space="0"/>
            </w:tcBorders>
            <w:shd w:val="clear" w:color="auto" w:fill="F2F5FA"/>
            <w:tcMar>
              <w:top w:w="70" w:type="dxa"/>
              <w:left w:w="110" w:type="dxa"/>
              <w:bottom w:w="70" w:type="dxa"/>
              <w:right w:w="110" w:type="dxa"/>
            </w:tcMar>
          </w:tcPr>
          <w:p w:rsidR="004E2066" w:rsidRDefault="00000000" w14:paraId="690790F6" w14:textId="2EEC14E8">
            <w:pPr>
              <w:spacing w:line="264" w:lineRule="auto"/>
            </w:pPr>
            <w:r>
              <w:rPr>
                <w:sz w:val="21"/>
                <w:szCs w:val="21"/>
              </w:rPr>
              <w:t xml:space="preserve">Whether you </w:t>
            </w:r>
            <w:r w:rsidR="000B6250">
              <w:rPr>
                <w:sz w:val="21"/>
                <w:szCs w:val="21"/>
              </w:rPr>
              <w:t>vary your approach or default</w:t>
            </w:r>
            <w:r>
              <w:rPr>
                <w:sz w:val="21"/>
                <w:szCs w:val="21"/>
              </w:rPr>
              <w:t xml:space="preserve"> to one.</w:t>
            </w:r>
          </w:p>
        </w:tc>
        <w:tc>
          <w:tcPr>
            <w:tcW w:w="2300" w:type="dxa"/>
            <w:tcBorders>
              <w:top w:val="single" w:color="D9D9D9" w:sz="4" w:space="0"/>
              <w:left w:val="single" w:color="D9D9D9" w:sz="4" w:space="0"/>
              <w:bottom w:val="single" w:color="D9D9D9" w:sz="4" w:space="0"/>
              <w:right w:val="single" w:color="D9D9D9" w:sz="4" w:space="0"/>
            </w:tcBorders>
            <w:shd w:val="clear" w:color="auto" w:fill="F2F5FA"/>
            <w:tcMar>
              <w:top w:w="70" w:type="dxa"/>
              <w:left w:w="110" w:type="dxa"/>
              <w:bottom w:w="70" w:type="dxa"/>
              <w:right w:w="110" w:type="dxa"/>
            </w:tcMar>
          </w:tcPr>
          <w:p w:rsidR="004E2066" w:rsidRDefault="004E2066" w14:paraId="690790F7" w14:textId="77777777">
            <w:pPr>
              <w:spacing w:line="264" w:lineRule="auto"/>
            </w:pPr>
          </w:p>
        </w:tc>
      </w:tr>
    </w:tbl>
    <w:p w:rsidR="004E2066" w:rsidRDefault="00000000" w14:paraId="690790F9" w14:textId="0C2F7A2A">
      <w:pPr>
        <w:spacing w:before="240" w:after="90"/>
      </w:pPr>
      <w:r w:rsidRPr="1B57CD43" w:rsidR="49A8F76C">
        <w:rPr>
          <w:b w:val="1"/>
          <w:bCs w:val="1"/>
          <w:color w:val="2E74B5" w:themeColor="accent5" w:themeTint="FF" w:themeShade="BF"/>
          <w:sz w:val="24"/>
          <w:szCs w:val="24"/>
        </w:rPr>
        <w:t xml:space="preserve">Section 6: Where to </w:t>
      </w:r>
      <w:r w:rsidRPr="1B57CD43" w:rsidR="083641A8">
        <w:rPr>
          <w:b w:val="1"/>
          <w:bCs w:val="1"/>
          <w:color w:val="2E74B5" w:themeColor="accent5" w:themeTint="FF" w:themeShade="BF"/>
          <w:sz w:val="24"/>
          <w:szCs w:val="24"/>
        </w:rPr>
        <w:t>f</w:t>
      </w:r>
      <w:r w:rsidRPr="1B57CD43" w:rsidR="49A8F76C">
        <w:rPr>
          <w:b w:val="1"/>
          <w:bCs w:val="1"/>
          <w:color w:val="2E74B5" w:themeColor="accent5" w:themeTint="FF" w:themeShade="BF"/>
          <w:sz w:val="24"/>
          <w:szCs w:val="24"/>
        </w:rPr>
        <w:t xml:space="preserve">ocus </w:t>
      </w:r>
      <w:r w:rsidRPr="1B57CD43" w:rsidR="666C433A">
        <w:rPr>
          <w:b w:val="1"/>
          <w:bCs w:val="1"/>
          <w:color w:val="2E74B5" w:themeColor="accent5" w:themeTint="FF" w:themeShade="BF"/>
          <w:sz w:val="24"/>
          <w:szCs w:val="24"/>
        </w:rPr>
        <w:t>n</w:t>
      </w:r>
      <w:r w:rsidRPr="1B57CD43" w:rsidR="49A8F76C">
        <w:rPr>
          <w:b w:val="1"/>
          <w:bCs w:val="1"/>
          <w:color w:val="2E74B5" w:themeColor="accent5" w:themeTint="FF" w:themeShade="BF"/>
          <w:sz w:val="24"/>
          <w:szCs w:val="24"/>
        </w:rPr>
        <w:t>ext</w:t>
      </w:r>
    </w:p>
    <w:p w:rsidR="004E2066" w:rsidRDefault="00000000" w14:paraId="690790FA" w14:textId="77777777">
      <w:pPr>
        <w:spacing w:after="120" w:line="276" w:lineRule="auto"/>
      </w:pPr>
      <w:r>
        <w:rPr>
          <w:b/>
          <w:bCs/>
        </w:rPr>
        <w:t xml:space="preserve">Purpose: </w:t>
      </w:r>
      <w:r>
        <w:t>Turn your data into a short practice plan.</w:t>
      </w:r>
    </w:p>
    <w:p w:rsidR="004E2066" w:rsidRDefault="00000000" w14:paraId="690790FB" w14:textId="77777777">
      <w:pPr>
        <w:spacing w:before="100" w:after="60"/>
      </w:pPr>
      <w:r>
        <w:rPr>
          <w:b/>
          <w:bCs/>
        </w:rPr>
        <w:t>The objection type you resolve least often:</w:t>
      </w:r>
    </w:p>
    <w:p w:rsidR="004E2066" w:rsidRDefault="004E2066" w14:paraId="690790FC" w14:textId="77777777">
      <w:pPr>
        <w:pBdr>
          <w:bottom w:val="single" w:color="808080" w:sz="4" w:space="3"/>
        </w:pBdr>
        <w:spacing w:before="120" w:after="120"/>
      </w:pPr>
    </w:p>
    <w:p w:rsidR="004E2066" w:rsidRDefault="00000000" w14:paraId="690790FD" w14:textId="77777777">
      <w:pPr>
        <w:spacing w:before="100" w:after="60"/>
      </w:pPr>
      <w:r>
        <w:rPr>
          <w:b/>
          <w:bCs/>
        </w:rPr>
        <w:t>The framework you rely on too much, or too little:</w:t>
      </w:r>
    </w:p>
    <w:p w:rsidR="004E2066" w:rsidRDefault="004E2066" w14:paraId="690790FE" w14:textId="77777777">
      <w:pPr>
        <w:pBdr>
          <w:bottom w:val="single" w:color="808080" w:sz="4" w:space="3"/>
        </w:pBdr>
        <w:spacing w:before="120" w:after="120"/>
      </w:pPr>
    </w:p>
    <w:p w:rsidR="004E2066" w:rsidRDefault="00000000" w14:paraId="690790FF" w14:textId="77777777">
      <w:pPr>
        <w:spacing w:before="100" w:after="60"/>
      </w:pPr>
      <w:r>
        <w:rPr>
          <w:b/>
          <w:bCs/>
        </w:rPr>
        <w:t>One response to practice before your next conversation:</w:t>
      </w:r>
    </w:p>
    <w:p w:rsidR="004E2066" w:rsidRDefault="004E2066" w14:paraId="69079100" w14:textId="77777777">
      <w:pPr>
        <w:pBdr>
          <w:bottom w:val="single" w:color="808080" w:sz="4" w:space="3"/>
        </w:pBdr>
        <w:spacing w:before="120" w:after="120"/>
      </w:pPr>
    </w:p>
    <w:p w:rsidR="004E2066" w:rsidRDefault="00000000" w14:paraId="69079101" w14:textId="77777777">
      <w:pPr>
        <w:spacing w:before="300" w:after="120"/>
      </w:pPr>
      <w:r>
        <w:rPr>
          <w:b/>
          <w:bCs/>
          <w:color w:val="1F3864"/>
          <w:sz w:val="26"/>
          <w:szCs w:val="26"/>
        </w:rPr>
        <w:t>Pre-Conversation Final Check</w:t>
      </w:r>
    </w:p>
    <w:p w:rsidR="004E2066" w:rsidRDefault="00000000" w14:paraId="69079102" w14:textId="77777777">
      <w:pPr>
        <w:spacing w:after="150" w:line="276" w:lineRule="auto"/>
      </w:pPr>
      <w:r>
        <w:t>Before your next conversation, confirm you can answer yes to each of these:</w:t>
      </w:r>
    </w:p>
    <w:p w:rsidR="004E2066" w:rsidRDefault="00000000" w14:paraId="69079103" w14:textId="77777777">
      <w:pPr>
        <w:pStyle w:val="ListParagraph"/>
        <w:numPr>
          <w:ilvl w:val="0"/>
          <w:numId w:val="3"/>
        </w:numPr>
        <w:spacing w:after="90" w:line="276" w:lineRule="auto"/>
      </w:pPr>
      <w:r>
        <w:t>I have built my value figures from the customer's own numbers.</w:t>
      </w:r>
    </w:p>
    <w:p w:rsidR="004E2066" w:rsidRDefault="00000000" w14:paraId="69079104" w14:textId="77777777">
      <w:pPr>
        <w:pStyle w:val="ListParagraph"/>
        <w:numPr>
          <w:ilvl w:val="0"/>
          <w:numId w:val="3"/>
        </w:numPr>
        <w:spacing w:after="90" w:line="276" w:lineRule="auto"/>
      </w:pPr>
      <w:r>
        <w:t>I can state the cost of inaction for this customer.</w:t>
      </w:r>
    </w:p>
    <w:p w:rsidR="004E2066" w:rsidRDefault="00000000" w14:paraId="69079105" w14:textId="77777777">
      <w:pPr>
        <w:pStyle w:val="ListParagraph"/>
        <w:numPr>
          <w:ilvl w:val="0"/>
          <w:numId w:val="3"/>
        </w:numPr>
        <w:spacing w:after="90" w:line="276" w:lineRule="auto"/>
      </w:pPr>
      <w:r>
        <w:t>I know the ROI and payback period for the investment.</w:t>
      </w:r>
    </w:p>
    <w:p w:rsidR="004E2066" w:rsidRDefault="00000000" w14:paraId="69079106" w14:textId="77777777">
      <w:pPr>
        <w:pStyle w:val="ListParagraph"/>
        <w:numPr>
          <w:ilvl w:val="0"/>
          <w:numId w:val="3"/>
        </w:numPr>
        <w:spacing w:after="90" w:line="276" w:lineRule="auto"/>
      </w:pPr>
      <w:r>
        <w:t>I am logging my objections consistently, not just when they go well.</w:t>
      </w:r>
    </w:p>
    <w:p w:rsidR="004E2066" w:rsidRDefault="00000000" w14:paraId="69079107" w14:textId="77777777">
      <w:pPr>
        <w:pStyle w:val="ListParagraph"/>
        <w:numPr>
          <w:ilvl w:val="0"/>
          <w:numId w:val="3"/>
        </w:numPr>
        <w:spacing w:after="90" w:line="276" w:lineRule="auto"/>
      </w:pPr>
      <w:r>
        <w:t>I know which objection to practice next, based on my own data.</w:t>
      </w:r>
    </w:p>
    <w:p w:rsidR="004E2066" w:rsidRDefault="00000000" w14:paraId="69079108" w14:textId="77777777">
      <w:pPr>
        <w:spacing w:before="300" w:after="120"/>
      </w:pPr>
      <w:r>
        <w:rPr>
          <w:b/>
          <w:bCs/>
          <w:color w:val="1F3864"/>
          <w:sz w:val="26"/>
          <w:szCs w:val="26"/>
        </w:rPr>
        <w:t>Summary</w:t>
      </w:r>
    </w:p>
    <w:p w:rsidR="004E2066" w:rsidRDefault="00000000" w14:paraId="69079109" w14:textId="77777777">
      <w:pPr>
        <w:spacing w:after="150" w:line="276" w:lineRule="auto"/>
      </w:pPr>
      <w:r>
        <w:t>In this resource, you have learned that:</w:t>
      </w:r>
    </w:p>
    <w:p w:rsidR="004E2066" w:rsidRDefault="00000000" w14:paraId="6907910A" w14:textId="77777777">
      <w:pPr>
        <w:pStyle w:val="ListParagraph"/>
        <w:numPr>
          <w:ilvl w:val="0"/>
          <w:numId w:val="2"/>
        </w:numPr>
        <w:spacing w:after="100" w:line="276" w:lineRule="auto"/>
      </w:pPr>
      <w:r>
        <w:t>Quantifying the cost of inaction and the ROI turns a price objection into a business case.</w:t>
      </w:r>
    </w:p>
    <w:p w:rsidR="004E2066" w:rsidRDefault="00000000" w14:paraId="6907910B" w14:textId="77777777">
      <w:pPr>
        <w:pStyle w:val="ListParagraph"/>
        <w:numPr>
          <w:ilvl w:val="0"/>
          <w:numId w:val="2"/>
        </w:numPr>
        <w:spacing w:after="100" w:line="276" w:lineRule="auto"/>
      </w:pPr>
      <w:r>
        <w:t>Value stacking and amortization make a price feel proportionate to what the customer receives.</w:t>
      </w:r>
    </w:p>
    <w:p w:rsidR="004E2066" w:rsidRDefault="00000000" w14:paraId="6907910C" w14:textId="77777777">
      <w:pPr>
        <w:pStyle w:val="ListParagraph"/>
        <w:numPr>
          <w:ilvl w:val="0"/>
          <w:numId w:val="2"/>
        </w:numPr>
        <w:spacing w:after="100" w:line="276" w:lineRule="auto"/>
      </w:pPr>
      <w:r>
        <w:t>An objection log reveals patterns in what you face and how you respond.</w:t>
      </w:r>
    </w:p>
    <w:p w:rsidR="004E2066" w:rsidRDefault="00000000" w14:paraId="6907910D" w14:textId="77777777">
      <w:pPr>
        <w:pStyle w:val="ListParagraph"/>
        <w:numPr>
          <w:ilvl w:val="0"/>
          <w:numId w:val="2"/>
        </w:numPr>
        <w:spacing w:after="100" w:line="276" w:lineRule="auto"/>
      </w:pPr>
      <w:r>
        <w:t>A few simple metrics measure your objection-handling success over time.</w:t>
      </w:r>
    </w:p>
    <w:p w:rsidR="004E2066" w:rsidRDefault="00000000" w14:paraId="6907910E" w14:textId="77777777">
      <w:pPr>
        <w:pStyle w:val="ListParagraph"/>
        <w:numPr>
          <w:ilvl w:val="0"/>
          <w:numId w:val="2"/>
        </w:numPr>
        <w:spacing w:after="100" w:line="276" w:lineRule="auto"/>
      </w:pPr>
      <w:r>
        <w:t>Your own data shows you exactly which objection to practice next.</w:t>
      </w:r>
    </w:p>
    <w:sectPr w:rsidR="004E2066">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62630"/>
    <w:multiLevelType w:val="hybridMultilevel"/>
    <w:tmpl w:val="5048620C"/>
    <w:lvl w:ilvl="0" w:tplc="F62807A2">
      <w:start w:val="1"/>
      <w:numFmt w:val="bullet"/>
      <w:lvlText w:val="☐"/>
      <w:lvlJc w:val="left"/>
      <w:pPr>
        <w:ind w:left="460" w:hanging="300"/>
      </w:pPr>
      <w:rPr>
        <w:rFonts w:ascii="Segoe UI Symbol" w:hAnsi="Segoe UI Symbol" w:eastAsia="Segoe UI Symbol" w:cs="Segoe UI Symbol"/>
        <w:sz w:val="22"/>
        <w:szCs w:val="22"/>
      </w:rPr>
    </w:lvl>
    <w:lvl w:ilvl="1" w:tplc="212AB166">
      <w:numFmt w:val="decimal"/>
      <w:lvlText w:val=""/>
      <w:lvlJc w:val="left"/>
    </w:lvl>
    <w:lvl w:ilvl="2" w:tplc="4CDE3696">
      <w:numFmt w:val="decimal"/>
      <w:lvlText w:val=""/>
      <w:lvlJc w:val="left"/>
    </w:lvl>
    <w:lvl w:ilvl="3" w:tplc="91A02DB4">
      <w:numFmt w:val="decimal"/>
      <w:lvlText w:val=""/>
      <w:lvlJc w:val="left"/>
    </w:lvl>
    <w:lvl w:ilvl="4" w:tplc="9CA4B392">
      <w:numFmt w:val="decimal"/>
      <w:lvlText w:val=""/>
      <w:lvlJc w:val="left"/>
    </w:lvl>
    <w:lvl w:ilvl="5" w:tplc="74B84968">
      <w:numFmt w:val="decimal"/>
      <w:lvlText w:val=""/>
      <w:lvlJc w:val="left"/>
    </w:lvl>
    <w:lvl w:ilvl="6" w:tplc="A1A4A7D6">
      <w:numFmt w:val="decimal"/>
      <w:lvlText w:val=""/>
      <w:lvlJc w:val="left"/>
    </w:lvl>
    <w:lvl w:ilvl="7" w:tplc="6ACC887A">
      <w:numFmt w:val="decimal"/>
      <w:lvlText w:val=""/>
      <w:lvlJc w:val="left"/>
    </w:lvl>
    <w:lvl w:ilvl="8" w:tplc="2244D0D4">
      <w:numFmt w:val="decimal"/>
      <w:lvlText w:val=""/>
      <w:lvlJc w:val="left"/>
    </w:lvl>
  </w:abstractNum>
  <w:abstractNum w:abstractNumId="1" w15:restartNumberingAfterBreak="0">
    <w:nsid w:val="62214F61"/>
    <w:multiLevelType w:val="hybridMultilevel"/>
    <w:tmpl w:val="048A679C"/>
    <w:lvl w:ilvl="0" w:tplc="5944E2FE">
      <w:start w:val="1"/>
      <w:numFmt w:val="bullet"/>
      <w:lvlText w:val="•"/>
      <w:lvlJc w:val="left"/>
      <w:pPr>
        <w:ind w:left="460" w:hanging="260"/>
      </w:pPr>
    </w:lvl>
    <w:lvl w:ilvl="1" w:tplc="B890F1EC">
      <w:numFmt w:val="decimal"/>
      <w:lvlText w:val=""/>
      <w:lvlJc w:val="left"/>
    </w:lvl>
    <w:lvl w:ilvl="2" w:tplc="8D5C95E6">
      <w:numFmt w:val="decimal"/>
      <w:lvlText w:val=""/>
      <w:lvlJc w:val="left"/>
    </w:lvl>
    <w:lvl w:ilvl="3" w:tplc="0EDE964C">
      <w:numFmt w:val="decimal"/>
      <w:lvlText w:val=""/>
      <w:lvlJc w:val="left"/>
    </w:lvl>
    <w:lvl w:ilvl="4" w:tplc="7082A708">
      <w:numFmt w:val="decimal"/>
      <w:lvlText w:val=""/>
      <w:lvlJc w:val="left"/>
    </w:lvl>
    <w:lvl w:ilvl="5" w:tplc="4E16FC9C">
      <w:numFmt w:val="decimal"/>
      <w:lvlText w:val=""/>
      <w:lvlJc w:val="left"/>
    </w:lvl>
    <w:lvl w:ilvl="6" w:tplc="B2029384">
      <w:numFmt w:val="decimal"/>
      <w:lvlText w:val=""/>
      <w:lvlJc w:val="left"/>
    </w:lvl>
    <w:lvl w:ilvl="7" w:tplc="A0DED6F4">
      <w:numFmt w:val="decimal"/>
      <w:lvlText w:val=""/>
      <w:lvlJc w:val="left"/>
    </w:lvl>
    <w:lvl w:ilvl="8" w:tplc="045824AC">
      <w:numFmt w:val="decimal"/>
      <w:lvlText w:val=""/>
      <w:lvlJc w:val="left"/>
    </w:lvl>
  </w:abstractNum>
  <w:abstractNum w:abstractNumId="2" w15:restartNumberingAfterBreak="0">
    <w:nsid w:val="623F4396"/>
    <w:multiLevelType w:val="hybridMultilevel"/>
    <w:tmpl w:val="BAFE5360"/>
    <w:lvl w:ilvl="0" w:tplc="1EFCFEBC">
      <w:start w:val="1"/>
      <w:numFmt w:val="bullet"/>
      <w:lvlText w:val="●"/>
      <w:lvlJc w:val="left"/>
      <w:pPr>
        <w:ind w:left="720" w:hanging="360"/>
      </w:pPr>
    </w:lvl>
    <w:lvl w:ilvl="1" w:tplc="2B8AB732">
      <w:start w:val="1"/>
      <w:numFmt w:val="bullet"/>
      <w:lvlText w:val="○"/>
      <w:lvlJc w:val="left"/>
      <w:pPr>
        <w:ind w:left="1440" w:hanging="360"/>
      </w:pPr>
    </w:lvl>
    <w:lvl w:ilvl="2" w:tplc="900A6C9C">
      <w:start w:val="1"/>
      <w:numFmt w:val="bullet"/>
      <w:lvlText w:val="■"/>
      <w:lvlJc w:val="left"/>
      <w:pPr>
        <w:ind w:left="2160" w:hanging="360"/>
      </w:pPr>
    </w:lvl>
    <w:lvl w:ilvl="3" w:tplc="FAA2A042">
      <w:start w:val="1"/>
      <w:numFmt w:val="bullet"/>
      <w:lvlText w:val="●"/>
      <w:lvlJc w:val="left"/>
      <w:pPr>
        <w:ind w:left="2880" w:hanging="360"/>
      </w:pPr>
    </w:lvl>
    <w:lvl w:ilvl="4" w:tplc="6A76BAB2">
      <w:start w:val="1"/>
      <w:numFmt w:val="bullet"/>
      <w:lvlText w:val="○"/>
      <w:lvlJc w:val="left"/>
      <w:pPr>
        <w:ind w:left="3600" w:hanging="360"/>
      </w:pPr>
    </w:lvl>
    <w:lvl w:ilvl="5" w:tplc="CC3EFEAC">
      <w:start w:val="1"/>
      <w:numFmt w:val="bullet"/>
      <w:lvlText w:val="■"/>
      <w:lvlJc w:val="left"/>
      <w:pPr>
        <w:ind w:left="4320" w:hanging="360"/>
      </w:pPr>
    </w:lvl>
    <w:lvl w:ilvl="6" w:tplc="C40C9CD2">
      <w:start w:val="1"/>
      <w:numFmt w:val="bullet"/>
      <w:lvlText w:val="●"/>
      <w:lvlJc w:val="left"/>
      <w:pPr>
        <w:ind w:left="5040" w:hanging="360"/>
      </w:pPr>
    </w:lvl>
    <w:lvl w:ilvl="7" w:tplc="9AFE6BB0">
      <w:start w:val="1"/>
      <w:numFmt w:val="bullet"/>
      <w:lvlText w:val="●"/>
      <w:lvlJc w:val="left"/>
      <w:pPr>
        <w:ind w:left="5760" w:hanging="360"/>
      </w:pPr>
    </w:lvl>
    <w:lvl w:ilvl="8" w:tplc="DAEE7130">
      <w:start w:val="1"/>
      <w:numFmt w:val="bullet"/>
      <w:lvlText w:val="●"/>
      <w:lvlJc w:val="left"/>
      <w:pPr>
        <w:ind w:left="6480" w:hanging="360"/>
      </w:pPr>
    </w:lvl>
  </w:abstractNum>
  <w:num w:numId="1" w16cid:durableId="1083450233">
    <w:abstractNumId w:val="2"/>
    <w:lvlOverride w:ilvl="0">
      <w:startOverride w:val="1"/>
    </w:lvlOverride>
  </w:num>
  <w:num w:numId="2" w16cid:durableId="1951007237">
    <w:abstractNumId w:val="1"/>
    <w:lvlOverride w:ilvl="0">
      <w:startOverride w:val="1"/>
    </w:lvlOverride>
  </w:num>
  <w:num w:numId="3" w16cid:durableId="7807602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jQyNba0tDAwNDAwNTFQ0lEKTi0uzszPAykwrAUAWB6fIiwAAAA="/>
  </w:docVars>
  <w:rsids>
    <w:rsidRoot w:val="004E2066"/>
    <w:rsid w:val="000B6250"/>
    <w:rsid w:val="004E2066"/>
    <w:rsid w:val="008C0876"/>
    <w:rsid w:val="083641A8"/>
    <w:rsid w:val="0C34DC40"/>
    <w:rsid w:val="113C9B64"/>
    <w:rsid w:val="13B020FE"/>
    <w:rsid w:val="1B57CD43"/>
    <w:rsid w:val="1F792116"/>
    <w:rsid w:val="348871CD"/>
    <w:rsid w:val="38C98CBA"/>
    <w:rsid w:val="3A6B58D9"/>
    <w:rsid w:val="3A7ACAB0"/>
    <w:rsid w:val="4211979F"/>
    <w:rsid w:val="472067AE"/>
    <w:rsid w:val="49A8F76C"/>
    <w:rsid w:val="49C30020"/>
    <w:rsid w:val="4E7BAD7A"/>
    <w:rsid w:val="4E9EC014"/>
    <w:rsid w:val="4EDC2A6C"/>
    <w:rsid w:val="50C51EF7"/>
    <w:rsid w:val="5AEAFA2D"/>
    <w:rsid w:val="5B93D8CD"/>
    <w:rsid w:val="666C433A"/>
    <w:rsid w:val="670D6D42"/>
    <w:rsid w:val="6A4174DA"/>
    <w:rsid w:val="6D3FF771"/>
    <w:rsid w:val="6FA1BB51"/>
    <w:rsid w:val="71112562"/>
    <w:rsid w:val="723518B6"/>
    <w:rsid w:val="73DCA9FF"/>
    <w:rsid w:val="7937129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79082"/>
  <w15:docId w15:val="{549DF7E9-21B3-43F8-B4A4-17D25D7CD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color w:val="1A1A1A"/>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aa8797b-a9f0-456b-baa3-5d499e8d169d" xsi:nil="true"/>
    <lcf76f155ced4ddcb4097134ff3c332f xmlns="a3712f75-7b99-4ea1-a115-5410be94119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E0125176A45754FB0996C1C75086554" ma:contentTypeVersion="19" ma:contentTypeDescription="Create a new document." ma:contentTypeScope="" ma:versionID="5336a7aad88d4fa118599994f44cfb52">
  <xsd:schema xmlns:xsd="http://www.w3.org/2001/XMLSchema" xmlns:xs="http://www.w3.org/2001/XMLSchema" xmlns:p="http://schemas.microsoft.com/office/2006/metadata/properties" xmlns:ns2="a3712f75-7b99-4ea1-a115-5410be941191" xmlns:ns3="3aa8797b-a9f0-456b-baa3-5d499e8d169d" targetNamespace="http://schemas.microsoft.com/office/2006/metadata/properties" ma:root="true" ma:fieldsID="05c60756e4c1ab69b3f0575f3a38b93a" ns2:_="" ns3:_="">
    <xsd:import namespace="a3712f75-7b99-4ea1-a115-5410be941191"/>
    <xsd:import namespace="3aa8797b-a9f0-456b-baa3-5d499e8d16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12f75-7b99-4ea1-a115-5410be941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1ea842c-d6a4-43e2-8351-d20fabe133fa"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a8797b-a9f0-456b-baa3-5d499e8d169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6bf7372-b96f-4d8f-ba07-70cf5bfdd859}" ma:internalName="TaxCatchAll" ma:showField="CatchAllData" ma:web="3aa8797b-a9f0-456b-baa3-5d499e8d16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D93640-23A8-4733-AF2B-CAB27E3D809A}">
  <ds:schemaRefs>
    <ds:schemaRef ds:uri="http://schemas.microsoft.com/office/2006/metadata/properties"/>
    <ds:schemaRef ds:uri="http://schemas.microsoft.com/office/infopath/2007/PartnerControls"/>
    <ds:schemaRef ds:uri="3aa8797b-a9f0-456b-baa3-5d499e8d169d"/>
    <ds:schemaRef ds:uri="a3712f75-7b99-4ea1-a115-5410be941191"/>
  </ds:schemaRefs>
</ds:datastoreItem>
</file>

<file path=customXml/itemProps2.xml><?xml version="1.0" encoding="utf-8"?>
<ds:datastoreItem xmlns:ds="http://schemas.openxmlformats.org/officeDocument/2006/customXml" ds:itemID="{D1C33716-3FFC-44A6-BFE4-D73E1E0940D9}">
  <ds:schemaRefs>
    <ds:schemaRef ds:uri="http://schemas.microsoft.com/sharepoint/v3/contenttype/forms"/>
  </ds:schemaRefs>
</ds:datastoreItem>
</file>

<file path=customXml/itemProps3.xml><?xml version="1.0" encoding="utf-8"?>
<ds:datastoreItem xmlns:ds="http://schemas.openxmlformats.org/officeDocument/2006/customXml" ds:itemID="{DBF84C9D-2351-4749-A10E-B3C61CCDE3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12f75-7b99-4ea1-a115-5410be941191"/>
    <ds:schemaRef ds:uri="3aa8797b-a9f0-456b-baa3-5d499e8d16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Sangya Sharma</lastModifiedBy>
  <revision>5</revision>
  <dcterms:created xsi:type="dcterms:W3CDTF">2026-07-21T11:03:00.0000000Z</dcterms:created>
  <dcterms:modified xsi:type="dcterms:W3CDTF">2026-07-31T11:18:59.4708831Z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0x010100BE0125176A45754FB0996C1C75086554</vt:lpwstr>
  </property>
  <property fmtid="{D5CDD505-2E9C-101B-9397-08002B2CF9AE}" pid="3" name="MediaServiceImageTags">
    <vt:lpwstr/>
  </property>
</Properties>
</file>