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273C" w14:textId="77777777" w:rsidR="0003135E" w:rsidRDefault="5611AE4E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Lab 2.2: Exemplar Solution</w:t>
      </w:r>
    </w:p>
    <w:p w14:paraId="2D74FC19" w14:textId="1C51AD43" w:rsidR="2FDD0A94" w:rsidRDefault="2FDD0A94" w:rsidP="2473CB8F">
      <w:pPr>
        <w:pStyle w:val="Heading3"/>
      </w:pPr>
      <w:r w:rsidRPr="2473CB8F">
        <w:rPr>
          <w:rFonts w:ascii="Calibri" w:eastAsia="Calibri" w:hAnsi="Calibri" w:cs="Calibri"/>
          <w:color w:val="000000" w:themeColor="text1"/>
          <w:sz w:val="24"/>
          <w:szCs w:val="24"/>
        </w:rPr>
        <w:t>Learning Objectives</w:t>
      </w:r>
    </w:p>
    <w:p w14:paraId="163EDBEF" w14:textId="799552D1" w:rsidR="2473CB8F" w:rsidRDefault="2473CB8F" w:rsidP="2473CB8F"/>
    <w:p w14:paraId="16DA6725" w14:textId="6152DD3C" w:rsidR="2FDD0A94" w:rsidRDefault="2FDD0A94" w:rsidP="2473CB8F">
      <w:pPr>
        <w:rPr>
          <w:rFonts w:eastAsia="Calibri" w:cs="Calibri"/>
          <w:color w:val="000000" w:themeColor="text1"/>
          <w:sz w:val="24"/>
          <w:szCs w:val="24"/>
        </w:rPr>
      </w:pPr>
      <w:r w:rsidRPr="2473CB8F">
        <w:rPr>
          <w:rFonts w:eastAsia="Calibri" w:cs="Calibri"/>
          <w:color w:val="000000" w:themeColor="text1"/>
          <w:sz w:val="24"/>
          <w:szCs w:val="24"/>
        </w:rPr>
        <w:t>After reading this resource, you will be able to:</w:t>
      </w:r>
    </w:p>
    <w:p w14:paraId="6F8090DA" w14:textId="5CCBCBA3" w:rsidR="2FDD0A94" w:rsidRDefault="2FDD0A94" w:rsidP="2473CB8F">
      <w:pPr>
        <w:pStyle w:val="ListParagraph"/>
        <w:numPr>
          <w:ilvl w:val="0"/>
          <w:numId w:val="2"/>
        </w:numPr>
        <w:spacing w:after="0"/>
        <w:rPr>
          <w:rFonts w:eastAsia="Calibri" w:cs="Calibri"/>
          <w:i/>
          <w:iCs/>
          <w:color w:val="000000" w:themeColor="text1"/>
          <w:sz w:val="24"/>
          <w:szCs w:val="24"/>
        </w:rPr>
      </w:pPr>
      <w:r w:rsidRPr="2473CB8F">
        <w:rPr>
          <w:rFonts w:eastAsia="Calibri" w:cs="Calibri"/>
          <w:color w:val="000000" w:themeColor="text1"/>
          <w:sz w:val="24"/>
          <w:szCs w:val="24"/>
        </w:rPr>
        <w:t xml:space="preserve">Identify the parts of a completed competitor profile. </w:t>
      </w:r>
    </w:p>
    <w:p w14:paraId="0864211F" w14:textId="4986AFAF" w:rsidR="2FDD0A94" w:rsidRDefault="2FDD0A94" w:rsidP="2473CB8F">
      <w:pPr>
        <w:pStyle w:val="ListParagraph"/>
        <w:numPr>
          <w:ilvl w:val="0"/>
          <w:numId w:val="2"/>
        </w:numPr>
        <w:spacing w:after="0"/>
        <w:rPr>
          <w:rFonts w:eastAsia="Calibri" w:cs="Calibri"/>
          <w:i/>
          <w:iCs/>
          <w:color w:val="000000" w:themeColor="text1"/>
          <w:sz w:val="24"/>
          <w:szCs w:val="24"/>
        </w:rPr>
      </w:pPr>
      <w:r w:rsidRPr="2473CB8F">
        <w:rPr>
          <w:rFonts w:eastAsia="Calibri" w:cs="Calibri"/>
          <w:color w:val="000000" w:themeColor="text1"/>
          <w:sz w:val="24"/>
          <w:szCs w:val="24"/>
        </w:rPr>
        <w:t xml:space="preserve">Examine how a SWOT analysis surfaces openings against a competitor. </w:t>
      </w:r>
    </w:p>
    <w:p w14:paraId="65D457D7" w14:textId="20E0B42A" w:rsidR="2FDD0A94" w:rsidRDefault="2FDD0A94" w:rsidP="2473CB8F">
      <w:pPr>
        <w:pStyle w:val="ListParagraph"/>
        <w:numPr>
          <w:ilvl w:val="0"/>
          <w:numId w:val="2"/>
        </w:numPr>
        <w:spacing w:after="0"/>
        <w:rPr>
          <w:rFonts w:eastAsia="Calibri" w:cs="Calibri"/>
          <w:i/>
          <w:iCs/>
          <w:color w:val="000000" w:themeColor="text1"/>
          <w:sz w:val="24"/>
          <w:szCs w:val="24"/>
        </w:rPr>
      </w:pPr>
      <w:r w:rsidRPr="2473CB8F">
        <w:rPr>
          <w:rFonts w:eastAsia="Calibri" w:cs="Calibri"/>
          <w:color w:val="000000" w:themeColor="text1"/>
          <w:sz w:val="24"/>
          <w:szCs w:val="24"/>
        </w:rPr>
        <w:t xml:space="preserve">Recognize how each counter reframes a strength into a fit argument. </w:t>
      </w:r>
    </w:p>
    <w:p w14:paraId="6787A190" w14:textId="5D544C76" w:rsidR="5611AE4E" w:rsidRDefault="5611AE4E" w:rsidP="2473CB8F">
      <w:pPr>
        <w:rPr>
          <w:b/>
          <w:bCs/>
          <w:color w:val="000000" w:themeColor="text1"/>
          <w:sz w:val="24"/>
          <w:szCs w:val="24"/>
        </w:rPr>
      </w:pPr>
    </w:p>
    <w:p w14:paraId="31C90B6F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Build a Competitor Profile - ADP (for PayPro Solutions)</w:t>
      </w:r>
    </w:p>
    <w:p w14:paraId="55435799" w14:textId="77777777" w:rsidR="0003135E" w:rsidRDefault="2473CB8F" w:rsidP="2473CB8F">
      <w:pPr>
        <w:rPr>
          <w:color w:val="000000" w:themeColor="text1"/>
          <w:sz w:val="24"/>
          <w:szCs w:val="24"/>
        </w:rPr>
      </w:pPr>
      <w:r w:rsidRPr="2473CB8F">
        <w:rPr>
          <w:color w:val="000000" w:themeColor="text1"/>
          <w:sz w:val="24"/>
          <w:szCs w:val="24"/>
        </w:rPr>
        <w:t>Note: This exemplar uses general, publicly known positioning of ADP as a large, established provider. It is one strong approach to fair competitive positioning. Your wording may differ. All points are framed as fit arguments, not unverified factual claims.</w:t>
      </w:r>
    </w:p>
    <w:p w14:paraId="0A7CC5CD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Part 1: Competitor Overview</w:t>
      </w:r>
    </w:p>
    <w:p w14:paraId="00A8F72C" w14:textId="77777777" w:rsidR="0003135E" w:rsidRDefault="2473CB8F" w:rsidP="2473CB8F">
      <w:pPr>
        <w:rPr>
          <w:color w:val="000000" w:themeColor="text1"/>
          <w:sz w:val="24"/>
          <w:szCs w:val="24"/>
        </w:rPr>
      </w:pPr>
      <w:r w:rsidRPr="2473CB8F">
        <w:rPr>
          <w:color w:val="000000" w:themeColor="text1"/>
          <w:sz w:val="24"/>
          <w:szCs w:val="24"/>
        </w:rPr>
        <w:t>Competitor: ADP. Primarily serves: businesses of all sizes, with particular strength among large enterprises. Main positioning claim: the established, full-service, all-in-one payroll and HR provider.</w:t>
      </w:r>
    </w:p>
    <w:p w14:paraId="2875D819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Part 2: SWOT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3135E" w14:paraId="416C81D5" w14:textId="77777777" w:rsidTr="2473CB8F">
        <w:tc>
          <w:tcPr>
            <w:tcW w:w="4320" w:type="dxa"/>
          </w:tcPr>
          <w:p w14:paraId="396B7887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Strengths (why customers choose them)</w:t>
            </w:r>
          </w:p>
        </w:tc>
        <w:tc>
          <w:tcPr>
            <w:tcW w:w="4320" w:type="dxa"/>
          </w:tcPr>
          <w:p w14:paraId="657231A0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Weaknesses (openings for PayPro)</w:t>
            </w:r>
          </w:p>
        </w:tc>
      </w:tr>
      <w:tr w:rsidR="0003135E" w14:paraId="4E55A0A6" w14:textId="77777777" w:rsidTr="2473CB8F">
        <w:tc>
          <w:tcPr>
            <w:tcW w:w="4320" w:type="dxa"/>
          </w:tcPr>
          <w:p w14:paraId="2D62D057" w14:textId="56A8FD15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Large, trusted, long-established brand</w:t>
            </w:r>
            <w:r w:rsidR="06EA1912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0" w:type="dxa"/>
          </w:tcPr>
          <w:p w14:paraId="72A100ED" w14:textId="277C687D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Service can feel impersonal for smaller accounts</w:t>
            </w:r>
            <w:r w:rsidR="65C046D6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3135E" w14:paraId="31F1307E" w14:textId="77777777" w:rsidTr="2473CB8F">
        <w:tc>
          <w:tcPr>
            <w:tcW w:w="4320" w:type="dxa"/>
          </w:tcPr>
          <w:p w14:paraId="52965BB1" w14:textId="6FC1F4A0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Very broad feature set and add-on ecosystem</w:t>
            </w:r>
            <w:r w:rsidR="2972E97F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0" w:type="dxa"/>
          </w:tcPr>
          <w:p w14:paraId="7228A981" w14:textId="29CF42DC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Breadth can mean complexity a mid-market team does not need</w:t>
            </w:r>
            <w:r w:rsidR="0326C1E9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3135E" w14:paraId="2D39F374" w14:textId="77777777" w:rsidTr="2473CB8F">
        <w:tc>
          <w:tcPr>
            <w:tcW w:w="4320" w:type="dxa"/>
          </w:tcPr>
          <w:p w14:paraId="182BD78E" w14:textId="250BBF84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Scale and resources to serve large enterprises</w:t>
            </w:r>
            <w:r w:rsidR="08C2D28D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0" w:type="dxa"/>
          </w:tcPr>
          <w:p w14:paraId="78B46369" w14:textId="5A375482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Mid-market accounts may not get dedicated, named support</w:t>
            </w:r>
            <w:r w:rsidR="468E3181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3135E" w14:paraId="08D4CF20" w14:textId="77777777" w:rsidTr="2473CB8F">
        <w:tc>
          <w:tcPr>
            <w:tcW w:w="4320" w:type="dxa"/>
          </w:tcPr>
          <w:p w14:paraId="2C608C71" w14:textId="49BE1E78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Wide name recognition; a safe default choice</w:t>
            </w:r>
            <w:r w:rsidR="582CAD68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0" w:type="dxa"/>
          </w:tcPr>
          <w:p w14:paraId="3A10F8FF" w14:textId="2F9C397D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Less nimble; pricing and packaging can feel rigid</w:t>
            </w:r>
            <w:r w:rsidR="06848678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3135E" w14:paraId="4A730FB0" w14:textId="77777777" w:rsidTr="2473CB8F">
        <w:tc>
          <w:tcPr>
            <w:tcW w:w="4320" w:type="dxa"/>
          </w:tcPr>
          <w:p w14:paraId="1299877C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Opportunities (shifts in their favor)</w:t>
            </w:r>
          </w:p>
        </w:tc>
        <w:tc>
          <w:tcPr>
            <w:tcW w:w="4320" w:type="dxa"/>
          </w:tcPr>
          <w:p w14:paraId="51A0467A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Threats (forces against them)</w:t>
            </w:r>
          </w:p>
        </w:tc>
      </w:tr>
      <w:tr w:rsidR="0003135E" w14:paraId="37F1EB19" w14:textId="77777777" w:rsidTr="2473CB8F">
        <w:tc>
          <w:tcPr>
            <w:tcW w:w="4320" w:type="dxa"/>
          </w:tcPr>
          <w:p w14:paraId="621BCA83" w14:textId="25B2566E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Continued demand for all-in-one HR platforms</w:t>
            </w:r>
            <w:r w:rsidR="553963B0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0" w:type="dxa"/>
          </w:tcPr>
          <w:p w14:paraId="65369B1D" w14:textId="7A512E61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Nimbler, right-sized competitors winning mid-market</w:t>
            </w:r>
            <w:r w:rsidR="14720350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  <w:tr w:rsidR="0003135E" w14:paraId="22900555" w14:textId="77777777" w:rsidTr="2473CB8F">
        <w:tc>
          <w:tcPr>
            <w:tcW w:w="4320" w:type="dxa"/>
          </w:tcPr>
          <w:p w14:paraId="711FB5EA" w14:textId="67D999E8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Cross-selling more services into the large base</w:t>
            </w:r>
            <w:r w:rsidR="62C61644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320" w:type="dxa"/>
          </w:tcPr>
          <w:p w14:paraId="313E730E" w14:textId="20BC9104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Buyers wanting personal service over sheer scale</w:t>
            </w:r>
            <w:r w:rsidR="68AE2040" w:rsidRPr="2473CB8F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E6AA80C" w14:textId="1B8079E1" w:rsidR="2473CB8F" w:rsidRDefault="2473CB8F" w:rsidP="2473CB8F">
      <w:pPr>
        <w:rPr>
          <w:b/>
          <w:bCs/>
          <w:color w:val="000000" w:themeColor="text1"/>
          <w:sz w:val="24"/>
          <w:szCs w:val="24"/>
        </w:rPr>
      </w:pPr>
    </w:p>
    <w:p w14:paraId="6F9F8F48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Part 3: Message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35E" w14:paraId="136FE9CB" w14:textId="77777777" w:rsidTr="2473CB8F">
        <w:tc>
          <w:tcPr>
            <w:tcW w:w="2880" w:type="dxa"/>
          </w:tcPr>
          <w:p w14:paraId="18F46628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What they emphasize</w:t>
            </w:r>
          </w:p>
        </w:tc>
        <w:tc>
          <w:tcPr>
            <w:tcW w:w="2880" w:type="dxa"/>
          </w:tcPr>
          <w:p w14:paraId="050C3B07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What it implies about their target</w:t>
            </w:r>
          </w:p>
        </w:tc>
        <w:tc>
          <w:tcPr>
            <w:tcW w:w="2880" w:type="dxa"/>
          </w:tcPr>
          <w:p w14:paraId="273D6C35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What they leave out (PayPro's opening)</w:t>
            </w:r>
          </w:p>
        </w:tc>
      </w:tr>
      <w:tr w:rsidR="0003135E" w14:paraId="45D05430" w14:textId="77777777" w:rsidTr="2473CB8F">
        <w:tc>
          <w:tcPr>
            <w:tcW w:w="2880" w:type="dxa"/>
          </w:tcPr>
          <w:p w14:paraId="751D2102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Scale, brand, and breadth</w:t>
            </w:r>
          </w:p>
        </w:tc>
        <w:tc>
          <w:tcPr>
            <w:tcW w:w="2880" w:type="dxa"/>
          </w:tcPr>
          <w:p w14:paraId="0E8BC504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Built to serve the largest, most complex organizations</w:t>
            </w:r>
          </w:p>
        </w:tc>
        <w:tc>
          <w:tcPr>
            <w:tcW w:w="2880" w:type="dxa"/>
          </w:tcPr>
          <w:p w14:paraId="2458975D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Personal, named, responsive support</w:t>
            </w:r>
          </w:p>
        </w:tc>
      </w:tr>
      <w:tr w:rsidR="0003135E" w14:paraId="721B9177" w14:textId="77777777" w:rsidTr="2473CB8F">
        <w:tc>
          <w:tcPr>
            <w:tcW w:w="2880" w:type="dxa"/>
          </w:tcPr>
          <w:p w14:paraId="45C1C9DF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Comprehensive all-in-one platform</w:t>
            </w:r>
          </w:p>
        </w:tc>
        <w:tc>
          <w:tcPr>
            <w:tcW w:w="2880" w:type="dxa"/>
          </w:tcPr>
          <w:p w14:paraId="32170B1D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Buyers who want everything in one place</w:t>
            </w:r>
          </w:p>
        </w:tc>
        <w:tc>
          <w:tcPr>
            <w:tcW w:w="2880" w:type="dxa"/>
          </w:tcPr>
          <w:p w14:paraId="7C0EFD91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Simplicity and a right-sized feature set</w:t>
            </w:r>
          </w:p>
        </w:tc>
      </w:tr>
      <w:tr w:rsidR="0003135E" w14:paraId="5F2DBD7B" w14:textId="77777777" w:rsidTr="2473CB8F">
        <w:tc>
          <w:tcPr>
            <w:tcW w:w="2880" w:type="dxa"/>
          </w:tcPr>
          <w:p w14:paraId="151AEB6D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Decades of market presence</w:t>
            </w:r>
          </w:p>
        </w:tc>
        <w:tc>
          <w:tcPr>
            <w:tcW w:w="2880" w:type="dxa"/>
          </w:tcPr>
          <w:p w14:paraId="0B51C411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Risk-averse buyers choosing the safe default</w:t>
            </w:r>
          </w:p>
        </w:tc>
        <w:tc>
          <w:tcPr>
            <w:tcW w:w="2880" w:type="dxa"/>
          </w:tcPr>
          <w:p w14:paraId="749D0349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Flexibility and a partner who adapts to you</w:t>
            </w:r>
          </w:p>
        </w:tc>
      </w:tr>
    </w:tbl>
    <w:p w14:paraId="4C4786D4" w14:textId="4688DB2A" w:rsidR="2473CB8F" w:rsidRDefault="2473CB8F" w:rsidP="2473CB8F">
      <w:pPr>
        <w:rPr>
          <w:b/>
          <w:bCs/>
          <w:color w:val="000000" w:themeColor="text1"/>
          <w:sz w:val="24"/>
          <w:szCs w:val="24"/>
        </w:rPr>
      </w:pPr>
    </w:p>
    <w:p w14:paraId="2997886E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Part 4: Vulnerabilities and PayPro's Counter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3135E" w14:paraId="0D41DB29" w14:textId="77777777" w:rsidTr="2473CB8F">
        <w:tc>
          <w:tcPr>
            <w:tcW w:w="2880" w:type="dxa"/>
          </w:tcPr>
          <w:p w14:paraId="77B3A5DE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ADP strength</w:t>
            </w:r>
          </w:p>
        </w:tc>
        <w:tc>
          <w:tcPr>
            <w:tcW w:w="2880" w:type="dxa"/>
          </w:tcPr>
          <w:p w14:paraId="34912C3C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Shadow side/trade-off</w:t>
            </w:r>
          </w:p>
        </w:tc>
        <w:tc>
          <w:tcPr>
            <w:tcW w:w="2880" w:type="dxa"/>
          </w:tcPr>
          <w:p w14:paraId="75A9E99D" w14:textId="77777777" w:rsidR="0003135E" w:rsidRDefault="2473CB8F" w:rsidP="2473CB8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2473CB8F">
              <w:rPr>
                <w:b/>
                <w:bCs/>
                <w:color w:val="000000" w:themeColor="text1"/>
                <w:sz w:val="24"/>
                <w:szCs w:val="24"/>
              </w:rPr>
              <w:t>How PayPro reframes it</w:t>
            </w:r>
          </w:p>
        </w:tc>
      </w:tr>
      <w:tr w:rsidR="0003135E" w14:paraId="3A158821" w14:textId="77777777" w:rsidTr="2473CB8F">
        <w:tc>
          <w:tcPr>
            <w:tcW w:w="2880" w:type="dxa"/>
          </w:tcPr>
          <w:p w14:paraId="61ADBA36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Enormous scale</w:t>
            </w:r>
          </w:p>
        </w:tc>
        <w:tc>
          <w:tcPr>
            <w:tcW w:w="2880" w:type="dxa"/>
          </w:tcPr>
          <w:p w14:paraId="2F4BC835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Mid-market accounts can feel like a number</w:t>
            </w:r>
          </w:p>
        </w:tc>
        <w:tc>
          <w:tcPr>
            <w:tcW w:w="2880" w:type="dxa"/>
          </w:tcPr>
          <w:p w14:paraId="6472A923" w14:textId="0EAE5B5B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 xml:space="preserve">"ADP is built for </w:t>
            </w:r>
            <w:r w:rsidR="3A986F8C" w:rsidRPr="2473CB8F">
              <w:rPr>
                <w:color w:val="000000" w:themeColor="text1"/>
                <w:sz w:val="24"/>
                <w:szCs w:val="24"/>
              </w:rPr>
              <w:t>the Fortune</w:t>
            </w:r>
            <w:r w:rsidRPr="2473CB8F">
              <w:rPr>
                <w:color w:val="000000" w:themeColor="text1"/>
                <w:sz w:val="24"/>
                <w:szCs w:val="24"/>
              </w:rPr>
              <w:t xml:space="preserve"> 500. You are not  </w:t>
            </w:r>
            <w:r w:rsidR="39208CB4" w:rsidRPr="2473CB8F">
              <w:rPr>
                <w:color w:val="000000" w:themeColor="text1"/>
                <w:sz w:val="24"/>
                <w:szCs w:val="24"/>
              </w:rPr>
              <w:t xml:space="preserve">the </w:t>
            </w:r>
            <w:r w:rsidRPr="2473CB8F">
              <w:rPr>
                <w:color w:val="000000" w:themeColor="text1"/>
                <w:sz w:val="24"/>
                <w:szCs w:val="24"/>
              </w:rPr>
              <w:t>Fortune 500, and you deserve a provider built for a company your size."</w:t>
            </w:r>
          </w:p>
        </w:tc>
      </w:tr>
      <w:tr w:rsidR="0003135E" w14:paraId="29E038C5" w14:textId="77777777" w:rsidTr="2473CB8F">
        <w:tc>
          <w:tcPr>
            <w:tcW w:w="2880" w:type="dxa"/>
          </w:tcPr>
          <w:p w14:paraId="157482D6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Huge feature set</w:t>
            </w:r>
          </w:p>
        </w:tc>
        <w:tc>
          <w:tcPr>
            <w:tcW w:w="2880" w:type="dxa"/>
          </w:tcPr>
          <w:p w14:paraId="26EF8D9E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Complexity and features you will never use</w:t>
            </w:r>
          </w:p>
        </w:tc>
        <w:tc>
          <w:tcPr>
            <w:tcW w:w="2880" w:type="dxa"/>
          </w:tcPr>
          <w:p w14:paraId="4AF7882A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"You pay for, and navigate, a platform built for far larger companies. PayPro gives you exactly what you need."</w:t>
            </w:r>
          </w:p>
        </w:tc>
      </w:tr>
      <w:tr w:rsidR="0003135E" w14:paraId="4AE4C28A" w14:textId="77777777" w:rsidTr="2473CB8F">
        <w:tc>
          <w:tcPr>
            <w:tcW w:w="2880" w:type="dxa"/>
          </w:tcPr>
          <w:p w14:paraId="31DA5A09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Established default choice</w:t>
            </w:r>
          </w:p>
        </w:tc>
        <w:tc>
          <w:tcPr>
            <w:tcW w:w="2880" w:type="dxa"/>
          </w:tcPr>
          <w:p w14:paraId="0B841E63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Less personal, less flexible</w:t>
            </w:r>
          </w:p>
        </w:tc>
        <w:tc>
          <w:tcPr>
            <w:tcW w:w="2880" w:type="dxa"/>
          </w:tcPr>
          <w:p w14:paraId="551D7925" w14:textId="77777777" w:rsidR="0003135E" w:rsidRDefault="2473CB8F" w:rsidP="2473CB8F">
            <w:pPr>
              <w:rPr>
                <w:color w:val="000000" w:themeColor="text1"/>
                <w:sz w:val="24"/>
                <w:szCs w:val="24"/>
              </w:rPr>
            </w:pPr>
            <w:r w:rsidRPr="2473CB8F">
              <w:rPr>
                <w:color w:val="000000" w:themeColor="text1"/>
                <w:sz w:val="24"/>
                <w:szCs w:val="24"/>
              </w:rPr>
              <w:t>"When you have a payroll problem on a Friday afternoon, who picks up the phone, a named contact who knows your account, or a call center?"</w:t>
            </w:r>
          </w:p>
        </w:tc>
      </w:tr>
    </w:tbl>
    <w:p w14:paraId="1FCE8E86" w14:textId="205D2040" w:rsidR="2473CB8F" w:rsidRDefault="2473CB8F" w:rsidP="2473CB8F">
      <w:pPr>
        <w:rPr>
          <w:b/>
          <w:bCs/>
          <w:color w:val="000000" w:themeColor="text1"/>
          <w:sz w:val="24"/>
          <w:szCs w:val="24"/>
        </w:rPr>
      </w:pPr>
    </w:p>
    <w:p w14:paraId="0B0EAE22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Part 5: PayPro's Differentiation</w:t>
      </w:r>
    </w:p>
    <w:p w14:paraId="5F135B41" w14:textId="77777777" w:rsidR="0003135E" w:rsidRDefault="2473CB8F" w:rsidP="2473CB8F">
      <w:pPr>
        <w:rPr>
          <w:color w:val="000000" w:themeColor="text1"/>
          <w:sz w:val="24"/>
          <w:szCs w:val="24"/>
        </w:rPr>
      </w:pPr>
      <w:r w:rsidRPr="2473CB8F">
        <w:rPr>
          <w:color w:val="000000" w:themeColor="text1"/>
          <w:sz w:val="24"/>
          <w:szCs w:val="24"/>
        </w:rPr>
        <w:t>Where PayPro is a better fit: For mid-market companies (roughly 50-500 employees) that want responsive, personal service and a right-sized platform rather than enterprise scale and complexity.</w:t>
      </w:r>
    </w:p>
    <w:p w14:paraId="3D9CD218" w14:textId="77777777" w:rsidR="0003135E" w:rsidRDefault="2473CB8F" w:rsidP="2473CB8F">
      <w:pPr>
        <w:rPr>
          <w:color w:val="000000" w:themeColor="text1"/>
          <w:sz w:val="24"/>
          <w:szCs w:val="24"/>
        </w:rPr>
      </w:pPr>
      <w:r w:rsidRPr="2473CB8F">
        <w:rPr>
          <w:color w:val="000000" w:themeColor="text1"/>
          <w:sz w:val="24"/>
          <w:szCs w:val="24"/>
        </w:rPr>
        <w:t>Sharpest point of difference: PayPro gives mid-market companies a dedicated, named support contact and a platform sized for them, where a large provider treats them as one small account among many.</w:t>
      </w:r>
    </w:p>
    <w:p w14:paraId="509C70ED" w14:textId="77777777" w:rsidR="0003135E" w:rsidRDefault="2473CB8F" w:rsidP="2473CB8F">
      <w:pPr>
        <w:rPr>
          <w:b/>
          <w:bCs/>
          <w:color w:val="000000" w:themeColor="text1"/>
          <w:sz w:val="24"/>
          <w:szCs w:val="24"/>
        </w:rPr>
      </w:pPr>
      <w:r w:rsidRPr="2473CB8F">
        <w:rPr>
          <w:b/>
          <w:bCs/>
          <w:color w:val="000000" w:themeColor="text1"/>
          <w:sz w:val="24"/>
          <w:szCs w:val="24"/>
        </w:rPr>
        <w:t>Why This Profile Works</w:t>
      </w:r>
    </w:p>
    <w:p w14:paraId="79FA9C96" w14:textId="376C433F" w:rsidR="0003135E" w:rsidRDefault="5611AE4E" w:rsidP="2473CB8F">
      <w:pPr>
        <w:rPr>
          <w:color w:val="000000" w:themeColor="text1"/>
          <w:sz w:val="24"/>
          <w:szCs w:val="24"/>
        </w:rPr>
      </w:pPr>
      <w:r w:rsidRPr="2473CB8F">
        <w:rPr>
          <w:color w:val="000000" w:themeColor="text1"/>
          <w:sz w:val="24"/>
          <w:szCs w:val="24"/>
        </w:rPr>
        <w:lastRenderedPageBreak/>
        <w:t xml:space="preserve">This profile is strong because it is honest about ADP's genuine strengths, scale, brand, </w:t>
      </w:r>
      <w:r w:rsidR="002072D2">
        <w:rPr>
          <w:color w:val="000000" w:themeColor="text1"/>
          <w:sz w:val="24"/>
          <w:szCs w:val="24"/>
        </w:rPr>
        <w:t xml:space="preserve">and </w:t>
      </w:r>
      <w:r w:rsidRPr="2473CB8F">
        <w:rPr>
          <w:color w:val="000000" w:themeColor="text1"/>
          <w:sz w:val="24"/>
          <w:szCs w:val="24"/>
        </w:rPr>
        <w:t>breadth, which earns credibility, and then finds the shadow side of each one rather than attacking it head on. Every counter is framed as a fit argument ("built for a company your size") rather than a claim that PayPro is simply better, which buyers do not believe. And it stays entirely within ethical bounds, using only public, well-known positioning, never unverifiable claims about ADP's internal operations.</w:t>
      </w:r>
    </w:p>
    <w:p w14:paraId="226F4BC1" w14:textId="7ADAED18" w:rsidR="4D28A32A" w:rsidRDefault="4D28A32A" w:rsidP="2473CB8F">
      <w:pPr>
        <w:pStyle w:val="Heading3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2473CB8F">
        <w:rPr>
          <w:rFonts w:ascii="Calibri" w:eastAsia="Calibri" w:hAnsi="Calibri" w:cs="Calibri"/>
          <w:color w:val="000000" w:themeColor="text1"/>
          <w:sz w:val="24"/>
          <w:szCs w:val="24"/>
        </w:rPr>
        <w:t>Summary</w:t>
      </w:r>
    </w:p>
    <w:p w14:paraId="46FDB23A" w14:textId="21D2016B" w:rsidR="2473CB8F" w:rsidRDefault="2473CB8F" w:rsidP="2473CB8F">
      <w:pPr>
        <w:rPr>
          <w:color w:val="000000" w:themeColor="text1"/>
          <w:sz w:val="24"/>
          <w:szCs w:val="24"/>
        </w:rPr>
      </w:pPr>
    </w:p>
    <w:p w14:paraId="5018F620" w14:textId="1AF7C384" w:rsidR="4D28A32A" w:rsidRDefault="78001053" w:rsidP="2473CB8F">
      <w:pPr>
        <w:spacing w:after="0"/>
        <w:rPr>
          <w:rFonts w:eastAsia="Calibri" w:cs="Calibri"/>
          <w:color w:val="000000" w:themeColor="text1"/>
          <w:sz w:val="24"/>
          <w:szCs w:val="24"/>
        </w:rPr>
      </w:pPr>
      <w:r w:rsidRPr="2473CB8F">
        <w:rPr>
          <w:rFonts w:eastAsia="Calibri" w:cs="Calibri"/>
          <w:color w:val="000000" w:themeColor="text1"/>
          <w:sz w:val="24"/>
          <w:szCs w:val="24"/>
        </w:rPr>
        <w:t>Generally</w:t>
      </w:r>
      <w:r w:rsidR="4D28A32A" w:rsidRPr="2473CB8F">
        <w:rPr>
          <w:rFonts w:eastAsia="Calibri" w:cs="Calibri"/>
          <w:color w:val="000000" w:themeColor="text1"/>
          <w:sz w:val="24"/>
          <w:szCs w:val="24"/>
        </w:rPr>
        <w:t xml:space="preserve"> known positioning is used, with no unverifiable claims. A SWOT analysis names ADP's genuine strengths and the openings they create. Honesty about real strengths gives the analysis its credibility. A message map shows what ADP emphasizes and what it leaves out. Each omission points to an opening for PayPro to claim. The shadow side of every strength becomes a reframed fit argument. A single differentiation statement positions PayPro for the mid-market.</w:t>
      </w:r>
    </w:p>
    <w:p w14:paraId="40D7889B" w14:textId="787232AA" w:rsidR="5611AE4E" w:rsidRDefault="5611AE4E" w:rsidP="2473CB8F">
      <w:pPr>
        <w:rPr>
          <w:color w:val="000000" w:themeColor="text1"/>
          <w:sz w:val="24"/>
          <w:szCs w:val="24"/>
        </w:rPr>
      </w:pPr>
    </w:p>
    <w:sectPr w:rsidR="5611A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762A1"/>
    <w:multiLevelType w:val="hybridMultilevel"/>
    <w:tmpl w:val="EC306D6A"/>
    <w:lvl w:ilvl="0" w:tplc="EB9A0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54C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8A1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4B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D05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E82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A8D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2AC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02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E4A72"/>
    <w:multiLevelType w:val="hybridMultilevel"/>
    <w:tmpl w:val="19B6BFE8"/>
    <w:lvl w:ilvl="0" w:tplc="D6EE1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837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A3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E6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02D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1AC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1231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C3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E6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621932">
    <w:abstractNumId w:val="9"/>
  </w:num>
  <w:num w:numId="2" w16cid:durableId="678234419">
    <w:abstractNumId w:val="10"/>
  </w:num>
  <w:num w:numId="3" w16cid:durableId="458573925">
    <w:abstractNumId w:val="8"/>
  </w:num>
  <w:num w:numId="4" w16cid:durableId="1701973658">
    <w:abstractNumId w:val="6"/>
  </w:num>
  <w:num w:numId="5" w16cid:durableId="472259853">
    <w:abstractNumId w:val="5"/>
  </w:num>
  <w:num w:numId="6" w16cid:durableId="270281027">
    <w:abstractNumId w:val="4"/>
  </w:num>
  <w:num w:numId="7" w16cid:durableId="869148264">
    <w:abstractNumId w:val="7"/>
  </w:num>
  <w:num w:numId="8" w16cid:durableId="1636905404">
    <w:abstractNumId w:val="3"/>
  </w:num>
  <w:num w:numId="9" w16cid:durableId="1915118004">
    <w:abstractNumId w:val="2"/>
  </w:num>
  <w:num w:numId="10" w16cid:durableId="534929587">
    <w:abstractNumId w:val="1"/>
  </w:num>
  <w:num w:numId="11" w16cid:durableId="20437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5E"/>
    <w:rsid w:val="00034616"/>
    <w:rsid w:val="0006063C"/>
    <w:rsid w:val="0015074B"/>
    <w:rsid w:val="002072D2"/>
    <w:rsid w:val="0029639D"/>
    <w:rsid w:val="00326F90"/>
    <w:rsid w:val="00AA1D8D"/>
    <w:rsid w:val="00B47730"/>
    <w:rsid w:val="00CB0664"/>
    <w:rsid w:val="00ED0CC7"/>
    <w:rsid w:val="00FC693F"/>
    <w:rsid w:val="0326C1E9"/>
    <w:rsid w:val="06848678"/>
    <w:rsid w:val="06EA1912"/>
    <w:rsid w:val="08C2D28D"/>
    <w:rsid w:val="11492D62"/>
    <w:rsid w:val="14720350"/>
    <w:rsid w:val="2473CB8F"/>
    <w:rsid w:val="27663346"/>
    <w:rsid w:val="2872E340"/>
    <w:rsid w:val="2972E97F"/>
    <w:rsid w:val="2FDD0A94"/>
    <w:rsid w:val="39208CB4"/>
    <w:rsid w:val="3A5FE9D0"/>
    <w:rsid w:val="3A986F8C"/>
    <w:rsid w:val="468E3181"/>
    <w:rsid w:val="4ADC8594"/>
    <w:rsid w:val="4D28A32A"/>
    <w:rsid w:val="4E7D86DE"/>
    <w:rsid w:val="51EC12A0"/>
    <w:rsid w:val="553963B0"/>
    <w:rsid w:val="5611AE4E"/>
    <w:rsid w:val="57CDB032"/>
    <w:rsid w:val="582CAD68"/>
    <w:rsid w:val="62C61644"/>
    <w:rsid w:val="65C046D6"/>
    <w:rsid w:val="68AE2040"/>
    <w:rsid w:val="7800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7E89982-6560-45F4-95A5-F2B98BB5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1442AF-B49D-4C33-B4C6-EC5FA00DA3B7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customXml/itemProps3.xml><?xml version="1.0" encoding="utf-8"?>
<ds:datastoreItem xmlns:ds="http://schemas.openxmlformats.org/officeDocument/2006/customXml" ds:itemID="{1A9DF320-BA62-4A30-8DF8-37C42E275E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3D1BDA-4C5B-48E0-A239-97B1889E9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620</Words>
  <Characters>3534</Characters>
  <Application>Microsoft Office Word</Application>
  <DocSecurity>0</DocSecurity>
  <Lines>29</Lines>
  <Paragraphs>8</Paragraphs>
  <ScaleCrop>false</ScaleCrop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Poonam Pradhan</cp:lastModifiedBy>
  <cp:revision>5</cp:revision>
  <dcterms:created xsi:type="dcterms:W3CDTF">2013-12-23T23:15:00Z</dcterms:created>
  <dcterms:modified xsi:type="dcterms:W3CDTF">2026-07-14T13:37:00Z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