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33B9F" w:rsidR="00067AB3" w:rsidP="00067AB3" w:rsidRDefault="00067AB3" w14:paraId="7B24F7C3" w14:textId="4AF3487C">
      <w:pPr/>
      <w:r w:rsidRPr="6435167C" w:rsidR="026C789E">
        <w:rPr>
          <w:rFonts w:ascii="IBM Plex Sans" w:hAnsi="IBM Plex Sans"/>
          <w:b w:val="1"/>
          <w:bCs w:val="1"/>
          <w:lang w:val="en-GB"/>
        </w:rPr>
        <w:t xml:space="preserve">Downloadable Resource: </w:t>
      </w:r>
      <w:r w:rsidRPr="6435167C" w:rsidR="3DF3C827">
        <w:rPr>
          <w:rFonts w:ascii="IBM Plex Sans" w:hAnsi="IBM Plex Sans"/>
          <w:b w:val="1"/>
          <w:bCs w:val="1"/>
          <w:lang w:val="en-GB"/>
        </w:rPr>
        <w:t>Account Scoring Matrix</w:t>
      </w:r>
    </w:p>
    <w:p w:rsidR="007822FA" w:rsidP="007822FA" w:rsidRDefault="007822FA" w14:paraId="5AD32927" w14:textId="77777777">
      <w:pPr>
        <w:rPr>
          <w:rFonts w:ascii="IBM Plex Sans" w:hAnsi="IBM Plex Sans"/>
          <w:lang w:val="en-GB"/>
        </w:rPr>
      </w:pPr>
      <w:r w:rsidRPr="521EDC7D" w:rsidR="375F3B00">
        <w:rPr>
          <w:rFonts w:ascii="IBM Plex Sans" w:hAnsi="IBM Plex Sans"/>
          <w:lang w:val="en-GB"/>
        </w:rPr>
        <w:t>Format: Interactive Scoring Worksheet</w:t>
      </w:r>
    </w:p>
    <w:p w:rsidR="00AF7D53" w:rsidP="521EDC7D" w:rsidRDefault="00AF7D53" w14:paraId="5C215DD6" w14:textId="6C23F2C2">
      <w:pPr>
        <w:spacing w:before="240" w:beforeAutospacing="off" w:after="240" w:afterAutospacing="off"/>
        <w:rPr>
          <w:rFonts w:ascii="IBM Plex Sans" w:hAnsi="IBM Plex Sans" w:eastAsia="IBM Plex Sans" w:cs="IBM Plex Sans"/>
          <w:b w:val="0"/>
          <w:bCs w:val="0"/>
          <w:i w:val="0"/>
          <w:iCs w:val="0"/>
          <w:caps w:val="0"/>
          <w:smallCaps w:val="0"/>
          <w:noProof w:val="0"/>
          <w:color w:val="000000" w:themeColor="text1" w:themeTint="FF" w:themeShade="FF"/>
          <w:sz w:val="22"/>
          <w:szCs w:val="22"/>
          <w:lang w:val="en-GB"/>
        </w:rPr>
      </w:pPr>
      <w:r w:rsidRPr="521EDC7D" w:rsidR="4FF50290">
        <w:rPr>
          <w:rFonts w:ascii="IBM Plex Sans" w:hAnsi="IBM Plex Sans" w:eastAsia="IBM Plex Sans" w:cs="IBM Plex Sans"/>
          <w:b w:val="1"/>
          <w:bCs w:val="1"/>
          <w:i w:val="0"/>
          <w:iCs w:val="0"/>
          <w:caps w:val="0"/>
          <w:smallCaps w:val="0"/>
          <w:noProof w:val="0"/>
          <w:color w:val="000000" w:themeColor="text1" w:themeTint="FF" w:themeShade="FF"/>
          <w:sz w:val="22"/>
          <w:szCs w:val="22"/>
          <w:lang w:val="en-GB"/>
        </w:rPr>
        <w:t>Learning Objectives</w:t>
      </w:r>
    </w:p>
    <w:p w:rsidR="00AF7D53" w:rsidP="521EDC7D" w:rsidRDefault="00AF7D53" w14:paraId="0A073E90" w14:textId="069E58E6">
      <w:pPr>
        <w:spacing w:before="240" w:beforeAutospacing="off" w:after="240" w:afterAutospacing="off"/>
        <w:rPr>
          <w:rFonts w:ascii="IBM Plex Sans" w:hAnsi="IBM Plex Sans" w:eastAsia="IBM Plex Sans" w:cs="IBM Plex Sans"/>
          <w:b w:val="0"/>
          <w:bCs w:val="0"/>
          <w:i w:val="0"/>
          <w:iCs w:val="0"/>
          <w:caps w:val="0"/>
          <w:smallCaps w:val="0"/>
          <w:noProof w:val="0"/>
          <w:color w:val="000000" w:themeColor="text1" w:themeTint="FF" w:themeShade="FF"/>
          <w:sz w:val="22"/>
          <w:szCs w:val="22"/>
          <w:lang w:val="en-GB"/>
        </w:rPr>
      </w:pPr>
      <w:r w:rsidRPr="521EDC7D" w:rsidR="4FF50290">
        <w:rPr>
          <w:rFonts w:ascii="IBM Plex Sans" w:hAnsi="IBM Plex Sans" w:eastAsia="IBM Plex Sans" w:cs="IBM Plex Sans"/>
          <w:b w:val="0"/>
          <w:bCs w:val="0"/>
          <w:i w:val="0"/>
          <w:iCs w:val="0"/>
          <w:caps w:val="0"/>
          <w:smallCaps w:val="0"/>
          <w:noProof w:val="0"/>
          <w:color w:val="000000" w:themeColor="text1" w:themeTint="FF" w:themeShade="FF"/>
          <w:sz w:val="22"/>
          <w:szCs w:val="22"/>
          <w:lang w:val="en-GB"/>
        </w:rPr>
        <w:t>After reading this resource, you will be able to:</w:t>
      </w:r>
    </w:p>
    <w:p w:rsidR="00AF7D53" w:rsidP="521EDC7D" w:rsidRDefault="00AF7D53" w14:paraId="50A78414" w14:textId="1668E325">
      <w:pPr>
        <w:pStyle w:val="ListParagraph"/>
        <w:numPr>
          <w:ilvl w:val="0"/>
          <w:numId w:val="13"/>
        </w:numPr>
        <w:spacing w:before="0" w:beforeAutospacing="off" w:after="0" w:afterAutospacing="off"/>
        <w:rPr>
          <w:rFonts w:ascii="IBM Plex Sans" w:hAnsi="IBM Plex Sans" w:eastAsia="IBM Plex Sans" w:cs="IBM Plex Sans"/>
          <w:b w:val="0"/>
          <w:bCs w:val="0"/>
          <w:i w:val="0"/>
          <w:iCs w:val="0"/>
          <w:caps w:val="0"/>
          <w:smallCaps w:val="0"/>
          <w:noProof w:val="0"/>
          <w:color w:val="000000" w:themeColor="text1" w:themeTint="FF" w:themeShade="FF"/>
          <w:sz w:val="22"/>
          <w:szCs w:val="22"/>
          <w:lang w:val="en-GB"/>
        </w:rPr>
      </w:pPr>
      <w:r w:rsidRPr="521EDC7D" w:rsidR="4FF50290">
        <w:rPr>
          <w:rFonts w:ascii="IBM Plex Sans" w:hAnsi="IBM Plex Sans" w:eastAsia="IBM Plex Sans" w:cs="IBM Plex Sans"/>
          <w:b w:val="0"/>
          <w:bCs w:val="0"/>
          <w:i w:val="0"/>
          <w:iCs w:val="0"/>
          <w:caps w:val="0"/>
          <w:smallCaps w:val="0"/>
          <w:noProof w:val="0"/>
          <w:color w:val="000000" w:themeColor="text1" w:themeTint="FF" w:themeShade="FF"/>
          <w:sz w:val="22"/>
          <w:szCs w:val="22"/>
          <w:lang w:val="en-GB"/>
        </w:rPr>
        <w:t>Identify four scoring categories for account evaluation.</w:t>
      </w:r>
    </w:p>
    <w:p w:rsidR="00AF7D53" w:rsidP="521EDC7D" w:rsidRDefault="00AF7D53" w14:paraId="0B66F5E5" w14:textId="3C4A5B47">
      <w:pPr>
        <w:pStyle w:val="ListParagraph"/>
        <w:numPr>
          <w:ilvl w:val="0"/>
          <w:numId w:val="13"/>
        </w:numPr>
        <w:spacing w:before="0" w:beforeAutospacing="off" w:after="0" w:afterAutospacing="off"/>
        <w:rPr>
          <w:rFonts w:ascii="IBM Plex Sans" w:hAnsi="IBM Plex Sans" w:eastAsia="IBM Plex Sans" w:cs="IBM Plex Sans"/>
          <w:b w:val="0"/>
          <w:bCs w:val="0"/>
          <w:i w:val="0"/>
          <w:iCs w:val="0"/>
          <w:caps w:val="0"/>
          <w:smallCaps w:val="0"/>
          <w:noProof w:val="0"/>
          <w:color w:val="000000" w:themeColor="text1" w:themeTint="FF" w:themeShade="FF"/>
          <w:sz w:val="22"/>
          <w:szCs w:val="22"/>
          <w:lang w:val="en-GB"/>
        </w:rPr>
      </w:pPr>
      <w:r w:rsidRPr="521EDC7D" w:rsidR="4FF50290">
        <w:rPr>
          <w:rFonts w:ascii="IBM Plex Sans" w:hAnsi="IBM Plex Sans" w:eastAsia="IBM Plex Sans" w:cs="IBM Plex Sans"/>
          <w:b w:val="0"/>
          <w:bCs w:val="0"/>
          <w:i w:val="0"/>
          <w:iCs w:val="0"/>
          <w:caps w:val="0"/>
          <w:smallCaps w:val="0"/>
          <w:noProof w:val="0"/>
          <w:color w:val="000000" w:themeColor="text1" w:themeTint="FF" w:themeShade="FF"/>
          <w:sz w:val="22"/>
          <w:szCs w:val="22"/>
          <w:lang w:val="en-GB"/>
        </w:rPr>
        <w:t>Explain the weight assigned to each category.</w:t>
      </w:r>
    </w:p>
    <w:p w:rsidR="00AF7D53" w:rsidP="521EDC7D" w:rsidRDefault="00AF7D53" w14:paraId="1BD8A45A" w14:textId="7330306F">
      <w:pPr>
        <w:pStyle w:val="ListParagraph"/>
        <w:numPr>
          <w:ilvl w:val="0"/>
          <w:numId w:val="13"/>
        </w:numPr>
        <w:spacing w:before="0" w:beforeAutospacing="off" w:after="0" w:afterAutospacing="off"/>
        <w:rPr>
          <w:rFonts w:ascii="IBM Plex Sans" w:hAnsi="IBM Plex Sans" w:eastAsia="IBM Plex Sans" w:cs="IBM Plex Sans"/>
          <w:b w:val="0"/>
          <w:bCs w:val="0"/>
          <w:i w:val="0"/>
          <w:iCs w:val="0"/>
          <w:caps w:val="0"/>
          <w:smallCaps w:val="0"/>
          <w:noProof w:val="0"/>
          <w:color w:val="000000" w:themeColor="text1" w:themeTint="FF" w:themeShade="FF"/>
          <w:sz w:val="22"/>
          <w:szCs w:val="22"/>
          <w:lang w:val="en-GB"/>
        </w:rPr>
      </w:pPr>
      <w:r w:rsidRPr="521EDC7D" w:rsidR="4FF50290">
        <w:rPr>
          <w:rFonts w:ascii="IBM Plex Sans" w:hAnsi="IBM Plex Sans" w:eastAsia="IBM Plex Sans" w:cs="IBM Plex Sans"/>
          <w:b w:val="0"/>
          <w:bCs w:val="0"/>
          <w:i w:val="0"/>
          <w:iCs w:val="0"/>
          <w:caps w:val="0"/>
          <w:smallCaps w:val="0"/>
          <w:noProof w:val="0"/>
          <w:color w:val="000000" w:themeColor="text1" w:themeTint="FF" w:themeShade="FF"/>
          <w:sz w:val="22"/>
          <w:szCs w:val="22"/>
          <w:lang w:val="en-GB"/>
        </w:rPr>
        <w:t>Describe the three account tiers and actions.</w:t>
      </w:r>
    </w:p>
    <w:p w:rsidR="00AF7D53" w:rsidP="521EDC7D" w:rsidRDefault="00AF7D53" w14:paraId="06B692BA" w14:textId="119FEE67">
      <w:pPr>
        <w:pStyle w:val="ListParagraph"/>
        <w:numPr>
          <w:ilvl w:val="0"/>
          <w:numId w:val="13"/>
        </w:numPr>
        <w:spacing w:before="0" w:beforeAutospacing="off" w:after="0" w:afterAutospacing="off"/>
        <w:rPr>
          <w:rFonts w:ascii="IBM Plex Sans" w:hAnsi="IBM Plex Sans" w:eastAsia="IBM Plex Sans" w:cs="IBM Plex Sans"/>
          <w:b w:val="0"/>
          <w:bCs w:val="0"/>
          <w:i w:val="0"/>
          <w:iCs w:val="0"/>
          <w:caps w:val="0"/>
          <w:smallCaps w:val="0"/>
          <w:noProof w:val="0"/>
          <w:color w:val="000000" w:themeColor="text1" w:themeTint="FF" w:themeShade="FF"/>
          <w:sz w:val="22"/>
          <w:szCs w:val="22"/>
          <w:lang w:val="en-GB"/>
        </w:rPr>
      </w:pPr>
      <w:r w:rsidRPr="521EDC7D" w:rsidR="4FF50290">
        <w:rPr>
          <w:rFonts w:ascii="IBM Plex Sans" w:hAnsi="IBM Plex Sans" w:eastAsia="IBM Plex Sans" w:cs="IBM Plex Sans"/>
          <w:b w:val="0"/>
          <w:bCs w:val="0"/>
          <w:i w:val="0"/>
          <w:iCs w:val="0"/>
          <w:caps w:val="0"/>
          <w:smallCaps w:val="0"/>
          <w:noProof w:val="0"/>
          <w:color w:val="000000" w:themeColor="text1" w:themeTint="FF" w:themeShade="FF"/>
          <w:sz w:val="22"/>
          <w:szCs w:val="22"/>
          <w:lang w:val="en-GB"/>
        </w:rPr>
        <w:t>Recognize three roles in the buying committee.</w:t>
      </w:r>
    </w:p>
    <w:p w:rsidR="00AF7D53" w:rsidP="521EDC7D" w:rsidRDefault="00AF7D53" w14:paraId="68CCE2A5" w14:textId="20C6B8CA">
      <w:pPr>
        <w:pStyle w:val="ListParagraph"/>
        <w:numPr>
          <w:ilvl w:val="0"/>
          <w:numId w:val="13"/>
        </w:numPr>
        <w:spacing w:before="0" w:beforeAutospacing="off" w:after="0" w:afterAutospacing="off"/>
        <w:rPr>
          <w:rFonts w:ascii="IBM Plex Sans" w:hAnsi="IBM Plex Sans" w:eastAsia="IBM Plex Sans" w:cs="IBM Plex Sans"/>
          <w:b w:val="0"/>
          <w:bCs w:val="0"/>
          <w:i w:val="0"/>
          <w:iCs w:val="0"/>
          <w:caps w:val="0"/>
          <w:smallCaps w:val="0"/>
          <w:noProof w:val="0"/>
          <w:color w:val="000000" w:themeColor="text1" w:themeTint="FF" w:themeShade="FF"/>
          <w:sz w:val="22"/>
          <w:szCs w:val="22"/>
          <w:lang w:val="en-GB"/>
        </w:rPr>
      </w:pPr>
      <w:r w:rsidRPr="521EDC7D" w:rsidR="4FF50290">
        <w:rPr>
          <w:rFonts w:ascii="IBM Plex Sans" w:hAnsi="IBM Plex Sans" w:eastAsia="IBM Plex Sans" w:cs="IBM Plex Sans"/>
          <w:b w:val="0"/>
          <w:bCs w:val="0"/>
          <w:i w:val="0"/>
          <w:iCs w:val="0"/>
          <w:caps w:val="0"/>
          <w:smallCaps w:val="0"/>
          <w:noProof w:val="0"/>
          <w:color w:val="000000" w:themeColor="text1" w:themeTint="FF" w:themeShade="FF"/>
          <w:sz w:val="22"/>
          <w:szCs w:val="22"/>
          <w:lang w:val="en-GB"/>
        </w:rPr>
        <w:t>Define each buying committee stakeholder's primary pain.</w:t>
      </w:r>
    </w:p>
    <w:p w:rsidR="00AF7D53" w:rsidP="007822FA" w:rsidRDefault="00AF7D53" w14:paraId="3069BBFA" w14:textId="75860507">
      <w:pPr>
        <w:rPr>
          <w:rFonts w:ascii="IBM Plex Sans" w:hAnsi="IBM Plex Sans"/>
          <w:lang w:val="en-GB"/>
        </w:rPr>
      </w:pPr>
    </w:p>
    <w:p w:rsidRPr="00CD03CC" w:rsidR="00AF7D53" w:rsidP="00AF7D53" w:rsidRDefault="00CD03CC" w14:paraId="1CC8C682" w14:textId="786F6F90">
      <w:pPr>
        <w:rPr>
          <w:rFonts w:ascii="IBM Plex Sans" w:hAnsi="IBM Plex Sans"/>
          <w:lang w:val="en-GB"/>
        </w:rPr>
      </w:pPr>
      <w:r w:rsidRPr="00CD03CC">
        <w:rPr>
          <w:rFonts w:ascii="IBM Plex Sans" w:hAnsi="IBM Plex Sans"/>
          <w:b/>
          <w:bCs/>
          <w:lang w:val="en-GB"/>
        </w:rPr>
        <w:t>Context</w:t>
      </w:r>
      <w:r w:rsidRPr="00CD03CC">
        <w:rPr>
          <w:rFonts w:ascii="IBM Plex Sans" w:hAnsi="IBM Plex Sans"/>
          <w:lang w:val="en-GB"/>
        </w:rPr>
        <w:t>: Use this reference guide and data worksheet to complete the prioritization exercises outlined in Lab 1.2. This resource establishes the mathematical weights required to eliminate emotional bias from your sales territory management.</w:t>
      </w:r>
    </w:p>
    <w:p w:rsidRPr="00C86E62" w:rsidR="00AF7D53" w:rsidP="00AF7D53" w:rsidRDefault="00AF7D53" w14:paraId="730FCD0F" w14:textId="77777777">
      <w:pPr>
        <w:rPr>
          <w:rFonts w:ascii="IBM Plex Sans" w:hAnsi="IBM Plex Sans"/>
          <w:lang w:val="en-GB"/>
        </w:rPr>
      </w:pPr>
    </w:p>
    <w:p w:rsidRPr="00AF7D53" w:rsidR="00AF7D53" w:rsidP="00AF7D53" w:rsidRDefault="00AF7D53" w14:paraId="5D743966" w14:textId="77777777">
      <w:pPr>
        <w:rPr>
          <w:rFonts w:ascii="IBM Plex Sans" w:hAnsi="IBM Plex Sans"/>
          <w:b/>
          <w:bCs/>
          <w:lang w:val="en-GB"/>
        </w:rPr>
      </w:pPr>
      <w:r w:rsidRPr="00AF7D53">
        <w:rPr>
          <w:rFonts w:ascii="IBM Plex Sans" w:hAnsi="IBM Plex Sans"/>
          <w:b/>
          <w:bCs/>
          <w:lang w:val="en-GB"/>
        </w:rPr>
        <w:t>1. How the Scoring Framework Works (Reference)</w:t>
      </w:r>
    </w:p>
    <w:p w:rsidRPr="00CD03CC" w:rsidR="00AF7D53" w:rsidP="00AF7D53" w:rsidRDefault="00AF7D53" w14:paraId="66A2EFE8" w14:textId="0A658B46">
      <w:pPr>
        <w:rPr>
          <w:rFonts w:ascii="IBM Plex Sans" w:hAnsi="IBM Plex Sans"/>
          <w:lang w:val="en-GB"/>
        </w:rPr>
      </w:pPr>
      <w:r w:rsidRPr="00C86E62">
        <w:rPr>
          <w:rFonts w:ascii="IBM Plex Sans" w:hAnsi="IBM Plex Sans"/>
          <w:lang w:val="en-GB"/>
        </w:rPr>
        <w:t>When you begin the lab, you will evaluate each account on a scale of 1–5 for the categories below. The matrix then multiplies your rating by a "Weight" (importance factor) to calculate a Weighted Score.</w:t>
      </w:r>
    </w:p>
    <w:p w:rsidRPr="00CD03CC" w:rsidR="00AF7D53" w:rsidP="00AF7D53" w:rsidRDefault="00AF7D53" w14:paraId="11D165A2" w14:textId="749CB85F">
      <w:pPr>
        <w:rPr>
          <w:rFonts w:ascii="IBM Plex Sans" w:hAnsi="IBM Plex Sans"/>
          <w:i/>
          <w:iCs/>
          <w:lang w:val="en-GB"/>
        </w:rPr>
      </w:pPr>
      <w:r w:rsidRPr="00AF7D53">
        <w:rPr>
          <w:rFonts w:ascii="IBM Plex Sans" w:hAnsi="IBM Plex Sans"/>
          <w:i/>
          <w:iCs/>
          <w:lang w:val="en-GB"/>
        </w:rPr>
        <w:t>This framework ensures that high-intent signals (like a Move) are valued more than basic company size.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7"/>
        <w:gridCol w:w="1559"/>
        <w:gridCol w:w="1134"/>
        <w:gridCol w:w="4111"/>
      </w:tblGrid>
      <w:tr w:rsidRPr="00AF7D53" w:rsidR="00AF7D53" w:rsidTr="00CD7BCF" w14:paraId="53C5C9B8" w14:textId="77777777">
        <w:trPr>
          <w:tblHeader/>
          <w:tblCellSpacing w:w="15" w:type="dxa"/>
        </w:trPr>
        <w:tc>
          <w:tcPr>
            <w:tcW w:w="1932" w:type="dxa"/>
            <w:tcBorders>
              <w:top w:val="single" w:color="auto" w:sz="6" w:space="0"/>
              <w:left w:val="single" w:color="auto" w:sz="6" w:space="0"/>
              <w:bottom w:val="single" w:color="auto" w:sz="6" w:space="0"/>
              <w:right w:val="single" w:color="auto" w:sz="6" w:space="0"/>
            </w:tcBorders>
            <w:vAlign w:val="center"/>
            <w:hideMark/>
          </w:tcPr>
          <w:p w:rsidRPr="00AF7D53" w:rsidR="00AF7D53" w:rsidP="00C86E62" w:rsidRDefault="00AF7D53" w14:paraId="676668C6" w14:textId="77777777">
            <w:pPr>
              <w:jc w:val="center"/>
              <w:rPr>
                <w:rFonts w:ascii="IBM Plex Sans" w:hAnsi="IBM Plex Sans"/>
              </w:rPr>
            </w:pPr>
            <w:proofErr w:type="spellStart"/>
            <w:r w:rsidRPr="00AF7D53">
              <w:rPr>
                <w:rFonts w:ascii="IBM Plex Sans" w:hAnsi="IBM Plex Sans"/>
                <w:b/>
                <w:bCs/>
              </w:rPr>
              <w:t>Scoring</w:t>
            </w:r>
            <w:proofErr w:type="spellEnd"/>
            <w:r w:rsidRPr="00AF7D53">
              <w:rPr>
                <w:rFonts w:ascii="IBM Plex Sans" w:hAnsi="IBM Plex Sans"/>
                <w:b/>
                <w:bCs/>
              </w:rPr>
              <w:t xml:space="preserve"> </w:t>
            </w:r>
            <w:proofErr w:type="spellStart"/>
            <w:r w:rsidRPr="00AF7D53">
              <w:rPr>
                <w:rFonts w:ascii="IBM Plex Sans" w:hAnsi="IBM Plex Sans"/>
                <w:b/>
                <w:bCs/>
              </w:rPr>
              <w:t>Category</w:t>
            </w:r>
            <w:proofErr w:type="spellEnd"/>
          </w:p>
        </w:tc>
        <w:tc>
          <w:tcPr>
            <w:tcW w:w="1529" w:type="dxa"/>
            <w:tcBorders>
              <w:top w:val="single" w:color="auto" w:sz="6" w:space="0"/>
              <w:left w:val="single" w:color="auto" w:sz="6" w:space="0"/>
              <w:bottom w:val="single" w:color="auto" w:sz="6" w:space="0"/>
              <w:right w:val="single" w:color="auto" w:sz="6" w:space="0"/>
            </w:tcBorders>
            <w:vAlign w:val="center"/>
            <w:hideMark/>
          </w:tcPr>
          <w:p w:rsidRPr="00AF7D53" w:rsidR="00AF7D53" w:rsidP="00C86E62" w:rsidRDefault="00AF7D53" w14:paraId="5ECE5FFA" w14:textId="77777777">
            <w:pPr>
              <w:jc w:val="center"/>
              <w:rPr>
                <w:rFonts w:ascii="IBM Plex Sans" w:hAnsi="IBM Plex Sans"/>
              </w:rPr>
            </w:pPr>
            <w:r w:rsidRPr="00AF7D53">
              <w:rPr>
                <w:rFonts w:ascii="IBM Plex Sans" w:hAnsi="IBM Plex Sans"/>
                <w:b/>
                <w:bCs/>
              </w:rPr>
              <w:t xml:space="preserve">Rating </w:t>
            </w:r>
            <w:proofErr w:type="spellStart"/>
            <w:r w:rsidRPr="00AF7D53">
              <w:rPr>
                <w:rFonts w:ascii="IBM Plex Sans" w:hAnsi="IBM Plex Sans"/>
                <w:b/>
                <w:bCs/>
              </w:rPr>
              <w:t>Scale</w:t>
            </w:r>
            <w:proofErr w:type="spellEnd"/>
          </w:p>
        </w:tc>
        <w:tc>
          <w:tcPr>
            <w:tcW w:w="1104" w:type="dxa"/>
            <w:tcBorders>
              <w:top w:val="single" w:color="auto" w:sz="6" w:space="0"/>
              <w:left w:val="single" w:color="auto" w:sz="6" w:space="0"/>
              <w:bottom w:val="single" w:color="auto" w:sz="6" w:space="0"/>
              <w:right w:val="single" w:color="auto" w:sz="6" w:space="0"/>
            </w:tcBorders>
            <w:vAlign w:val="center"/>
            <w:hideMark/>
          </w:tcPr>
          <w:p w:rsidRPr="00AF7D53" w:rsidR="00AF7D53" w:rsidP="00C86E62" w:rsidRDefault="00AF7D53" w14:paraId="2E44D0D0" w14:textId="77777777">
            <w:pPr>
              <w:jc w:val="center"/>
              <w:rPr>
                <w:rFonts w:ascii="IBM Plex Sans" w:hAnsi="IBM Plex Sans"/>
              </w:rPr>
            </w:pPr>
            <w:proofErr w:type="spellStart"/>
            <w:r w:rsidRPr="00AF7D53">
              <w:rPr>
                <w:rFonts w:ascii="IBM Plex Sans" w:hAnsi="IBM Plex Sans"/>
                <w:b/>
                <w:bCs/>
              </w:rPr>
              <w:t>Weight</w:t>
            </w:r>
            <w:proofErr w:type="spellEnd"/>
          </w:p>
        </w:tc>
        <w:tc>
          <w:tcPr>
            <w:tcW w:w="4066" w:type="dxa"/>
            <w:tcBorders>
              <w:top w:val="single" w:color="auto" w:sz="6" w:space="0"/>
              <w:left w:val="single" w:color="auto" w:sz="6" w:space="0"/>
              <w:bottom w:val="single" w:color="auto" w:sz="6" w:space="0"/>
              <w:right w:val="single" w:color="auto" w:sz="6" w:space="0"/>
            </w:tcBorders>
            <w:vAlign w:val="center"/>
            <w:hideMark/>
          </w:tcPr>
          <w:p w:rsidRPr="00AF7D53" w:rsidR="00AF7D53" w:rsidP="00C86E62" w:rsidRDefault="00AF7D53" w14:paraId="210B90FC" w14:textId="77777777">
            <w:pPr>
              <w:jc w:val="center"/>
              <w:rPr>
                <w:rFonts w:ascii="IBM Plex Sans" w:hAnsi="IBM Plex Sans"/>
              </w:rPr>
            </w:pPr>
            <w:proofErr w:type="spellStart"/>
            <w:r w:rsidRPr="00AF7D53">
              <w:rPr>
                <w:rFonts w:ascii="IBM Plex Sans" w:hAnsi="IBM Plex Sans"/>
                <w:b/>
                <w:bCs/>
              </w:rPr>
              <w:t>Why</w:t>
            </w:r>
            <w:proofErr w:type="spellEnd"/>
            <w:r w:rsidRPr="00AF7D53">
              <w:rPr>
                <w:rFonts w:ascii="IBM Plex Sans" w:hAnsi="IBM Plex Sans"/>
                <w:b/>
                <w:bCs/>
              </w:rPr>
              <w:t xml:space="preserve"> </w:t>
            </w:r>
            <w:proofErr w:type="spellStart"/>
            <w:r w:rsidRPr="00AF7D53">
              <w:rPr>
                <w:rFonts w:ascii="IBM Plex Sans" w:hAnsi="IBM Plex Sans"/>
                <w:b/>
                <w:bCs/>
              </w:rPr>
              <w:t>this</w:t>
            </w:r>
            <w:proofErr w:type="spellEnd"/>
            <w:r w:rsidRPr="00AF7D53">
              <w:rPr>
                <w:rFonts w:ascii="IBM Plex Sans" w:hAnsi="IBM Plex Sans"/>
                <w:b/>
                <w:bCs/>
              </w:rPr>
              <w:t xml:space="preserve"> </w:t>
            </w:r>
            <w:proofErr w:type="spellStart"/>
            <w:r w:rsidRPr="00AF7D53">
              <w:rPr>
                <w:rFonts w:ascii="IBM Plex Sans" w:hAnsi="IBM Plex Sans"/>
                <w:b/>
                <w:bCs/>
              </w:rPr>
              <w:t>weight</w:t>
            </w:r>
            <w:proofErr w:type="spellEnd"/>
            <w:r w:rsidRPr="00AF7D53">
              <w:rPr>
                <w:rFonts w:ascii="IBM Plex Sans" w:hAnsi="IBM Plex Sans"/>
                <w:b/>
                <w:bCs/>
              </w:rPr>
              <w:t>?</w:t>
            </w:r>
          </w:p>
        </w:tc>
      </w:tr>
      <w:tr w:rsidRPr="00517AD4" w:rsidR="00AF7D53" w:rsidTr="00CD7BCF" w14:paraId="24130631" w14:textId="77777777">
        <w:trPr>
          <w:tblCellSpacing w:w="15" w:type="dxa"/>
        </w:trPr>
        <w:tc>
          <w:tcPr>
            <w:tcW w:w="1932" w:type="dxa"/>
            <w:tcBorders>
              <w:top w:val="single" w:color="auto" w:sz="6" w:space="0"/>
              <w:left w:val="single" w:color="auto" w:sz="6" w:space="0"/>
              <w:bottom w:val="single" w:color="auto" w:sz="6" w:space="0"/>
              <w:right w:val="single" w:color="auto" w:sz="6" w:space="0"/>
            </w:tcBorders>
            <w:vAlign w:val="center"/>
            <w:hideMark/>
          </w:tcPr>
          <w:p w:rsidRPr="00C86E62" w:rsidR="00AF7D53" w:rsidP="00AF7D53" w:rsidRDefault="00AF7D53" w14:paraId="65D87E32" w14:textId="77777777">
            <w:pPr>
              <w:rPr>
                <w:rFonts w:ascii="IBM Plex Sans" w:hAnsi="IBM Plex Sans"/>
                <w:sz w:val="20"/>
                <w:szCs w:val="20"/>
              </w:rPr>
            </w:pPr>
            <w:proofErr w:type="spellStart"/>
            <w:r w:rsidRPr="00C86E62">
              <w:rPr>
                <w:rFonts w:ascii="IBM Plex Sans" w:hAnsi="IBM Plex Sans"/>
                <w:b/>
                <w:bCs/>
                <w:sz w:val="20"/>
                <w:szCs w:val="20"/>
              </w:rPr>
              <w:t>Firmographic</w:t>
            </w:r>
            <w:proofErr w:type="spellEnd"/>
            <w:r w:rsidRPr="00C86E62">
              <w:rPr>
                <w:rFonts w:ascii="IBM Plex Sans" w:hAnsi="IBM Plex Sans"/>
                <w:b/>
                <w:bCs/>
                <w:sz w:val="20"/>
                <w:szCs w:val="20"/>
              </w:rPr>
              <w:t xml:space="preserve"> Fit</w:t>
            </w:r>
          </w:p>
        </w:tc>
        <w:tc>
          <w:tcPr>
            <w:tcW w:w="1529" w:type="dxa"/>
            <w:tcBorders>
              <w:top w:val="single" w:color="auto" w:sz="6" w:space="0"/>
              <w:left w:val="single" w:color="auto" w:sz="6" w:space="0"/>
              <w:bottom w:val="single" w:color="auto" w:sz="6" w:space="0"/>
              <w:right w:val="single" w:color="auto" w:sz="6" w:space="0"/>
            </w:tcBorders>
            <w:vAlign w:val="center"/>
            <w:hideMark/>
          </w:tcPr>
          <w:p w:rsidRPr="00C86E62" w:rsidR="00AF7D53" w:rsidP="00AF7D53" w:rsidRDefault="00AF7D53" w14:paraId="3D6E22A6" w14:textId="77777777">
            <w:pPr>
              <w:rPr>
                <w:rFonts w:ascii="IBM Plex Sans" w:hAnsi="IBM Plex Sans"/>
                <w:sz w:val="20"/>
                <w:szCs w:val="20"/>
              </w:rPr>
            </w:pPr>
            <w:r w:rsidRPr="00C86E62">
              <w:rPr>
                <w:rFonts w:ascii="IBM Plex Sans" w:hAnsi="IBM Plex Sans"/>
                <w:sz w:val="20"/>
                <w:szCs w:val="20"/>
              </w:rPr>
              <w:t>1 - 5</w:t>
            </w:r>
          </w:p>
        </w:tc>
        <w:tc>
          <w:tcPr>
            <w:tcW w:w="1104" w:type="dxa"/>
            <w:tcBorders>
              <w:top w:val="single" w:color="auto" w:sz="6" w:space="0"/>
              <w:left w:val="single" w:color="auto" w:sz="6" w:space="0"/>
              <w:bottom w:val="single" w:color="auto" w:sz="6" w:space="0"/>
              <w:right w:val="single" w:color="auto" w:sz="6" w:space="0"/>
            </w:tcBorders>
            <w:vAlign w:val="center"/>
            <w:hideMark/>
          </w:tcPr>
          <w:p w:rsidRPr="00C86E62" w:rsidR="00AF7D53" w:rsidP="00AF7D53" w:rsidRDefault="00AF7D53" w14:paraId="45341604" w14:textId="77777777">
            <w:pPr>
              <w:rPr>
                <w:rFonts w:ascii="IBM Plex Sans" w:hAnsi="IBM Plex Sans"/>
                <w:sz w:val="20"/>
                <w:szCs w:val="20"/>
              </w:rPr>
            </w:pPr>
            <w:r w:rsidRPr="00C86E62">
              <w:rPr>
                <w:rFonts w:ascii="IBM Plex Sans" w:hAnsi="IBM Plex Sans"/>
                <w:b/>
                <w:bCs/>
                <w:sz w:val="20"/>
                <w:szCs w:val="20"/>
              </w:rPr>
              <w:t>20%</w:t>
            </w:r>
          </w:p>
        </w:tc>
        <w:tc>
          <w:tcPr>
            <w:tcW w:w="4066" w:type="dxa"/>
            <w:tcBorders>
              <w:top w:val="single" w:color="auto" w:sz="6" w:space="0"/>
              <w:left w:val="single" w:color="auto" w:sz="6" w:space="0"/>
              <w:bottom w:val="single" w:color="auto" w:sz="6" w:space="0"/>
              <w:right w:val="single" w:color="auto" w:sz="6" w:space="0"/>
            </w:tcBorders>
            <w:vAlign w:val="center"/>
            <w:hideMark/>
          </w:tcPr>
          <w:p w:rsidRPr="00C86E62" w:rsidR="00AF7D53" w:rsidP="00AF7D53" w:rsidRDefault="00AF7D53" w14:paraId="7A3D7DE0" w14:textId="77777777">
            <w:pPr>
              <w:rPr>
                <w:rFonts w:ascii="IBM Plex Sans" w:hAnsi="IBM Plex Sans"/>
                <w:sz w:val="20"/>
                <w:szCs w:val="20"/>
                <w:lang w:val="en-GB"/>
              </w:rPr>
            </w:pPr>
            <w:r w:rsidRPr="00C86E62">
              <w:rPr>
                <w:rFonts w:ascii="IBM Plex Sans" w:hAnsi="IBM Plex Sans"/>
                <w:sz w:val="20"/>
                <w:szCs w:val="20"/>
                <w:lang w:val="en-GB"/>
              </w:rPr>
              <w:t>Size matters, but it doesn't guarantee a need.</w:t>
            </w:r>
          </w:p>
        </w:tc>
      </w:tr>
      <w:tr w:rsidRPr="00517AD4" w:rsidR="00AF7D53" w:rsidTr="00CD7BCF" w14:paraId="7AB6D141" w14:textId="77777777">
        <w:trPr>
          <w:tblCellSpacing w:w="15" w:type="dxa"/>
        </w:trPr>
        <w:tc>
          <w:tcPr>
            <w:tcW w:w="1932" w:type="dxa"/>
            <w:tcBorders>
              <w:top w:val="single" w:color="auto" w:sz="6" w:space="0"/>
              <w:left w:val="single" w:color="auto" w:sz="6" w:space="0"/>
              <w:bottom w:val="single" w:color="auto" w:sz="6" w:space="0"/>
              <w:right w:val="single" w:color="auto" w:sz="6" w:space="0"/>
            </w:tcBorders>
            <w:vAlign w:val="center"/>
            <w:hideMark/>
          </w:tcPr>
          <w:p w:rsidRPr="00C86E62" w:rsidR="00AF7D53" w:rsidP="00AF7D53" w:rsidRDefault="00AF7D53" w14:paraId="08E15D8C" w14:textId="77777777">
            <w:pPr>
              <w:rPr>
                <w:rFonts w:ascii="IBM Plex Sans" w:hAnsi="IBM Plex Sans"/>
                <w:sz w:val="20"/>
                <w:szCs w:val="20"/>
              </w:rPr>
            </w:pPr>
            <w:r w:rsidRPr="00C86E62">
              <w:rPr>
                <w:rFonts w:ascii="IBM Plex Sans" w:hAnsi="IBM Plex Sans"/>
                <w:b/>
                <w:bCs/>
                <w:sz w:val="20"/>
                <w:szCs w:val="20"/>
              </w:rPr>
              <w:t xml:space="preserve">Growth </w:t>
            </w:r>
            <w:proofErr w:type="spellStart"/>
            <w:r w:rsidRPr="00C86E62">
              <w:rPr>
                <w:rFonts w:ascii="IBM Plex Sans" w:hAnsi="IBM Plex Sans"/>
                <w:b/>
                <w:bCs/>
                <w:sz w:val="20"/>
                <w:szCs w:val="20"/>
              </w:rPr>
              <w:t>Signal</w:t>
            </w:r>
            <w:proofErr w:type="spellEnd"/>
          </w:p>
        </w:tc>
        <w:tc>
          <w:tcPr>
            <w:tcW w:w="1529" w:type="dxa"/>
            <w:tcBorders>
              <w:top w:val="single" w:color="auto" w:sz="6" w:space="0"/>
              <w:left w:val="single" w:color="auto" w:sz="6" w:space="0"/>
              <w:bottom w:val="single" w:color="auto" w:sz="6" w:space="0"/>
              <w:right w:val="single" w:color="auto" w:sz="6" w:space="0"/>
            </w:tcBorders>
            <w:vAlign w:val="center"/>
            <w:hideMark/>
          </w:tcPr>
          <w:p w:rsidRPr="00C86E62" w:rsidR="00AF7D53" w:rsidP="00AF7D53" w:rsidRDefault="00AF7D53" w14:paraId="48CE6BDF" w14:textId="77777777">
            <w:pPr>
              <w:rPr>
                <w:rFonts w:ascii="IBM Plex Sans" w:hAnsi="IBM Plex Sans"/>
                <w:sz w:val="20"/>
                <w:szCs w:val="20"/>
              </w:rPr>
            </w:pPr>
            <w:r w:rsidRPr="00C86E62">
              <w:rPr>
                <w:rFonts w:ascii="IBM Plex Sans" w:hAnsi="IBM Plex Sans"/>
                <w:sz w:val="20"/>
                <w:szCs w:val="20"/>
              </w:rPr>
              <w:t>1 - 5</w:t>
            </w:r>
          </w:p>
        </w:tc>
        <w:tc>
          <w:tcPr>
            <w:tcW w:w="1104" w:type="dxa"/>
            <w:tcBorders>
              <w:top w:val="single" w:color="auto" w:sz="6" w:space="0"/>
              <w:left w:val="single" w:color="auto" w:sz="6" w:space="0"/>
              <w:bottom w:val="single" w:color="auto" w:sz="6" w:space="0"/>
              <w:right w:val="single" w:color="auto" w:sz="6" w:space="0"/>
            </w:tcBorders>
            <w:vAlign w:val="center"/>
            <w:hideMark/>
          </w:tcPr>
          <w:p w:rsidRPr="00C86E62" w:rsidR="00AF7D53" w:rsidP="00AF7D53" w:rsidRDefault="00AF7D53" w14:paraId="320D23B4" w14:textId="77777777">
            <w:pPr>
              <w:rPr>
                <w:rFonts w:ascii="IBM Plex Sans" w:hAnsi="IBM Plex Sans"/>
                <w:sz w:val="20"/>
                <w:szCs w:val="20"/>
              </w:rPr>
            </w:pPr>
            <w:r w:rsidRPr="00C86E62">
              <w:rPr>
                <w:rFonts w:ascii="IBM Plex Sans" w:hAnsi="IBM Plex Sans"/>
                <w:b/>
                <w:bCs/>
                <w:sz w:val="20"/>
                <w:szCs w:val="20"/>
              </w:rPr>
              <w:t>30%</w:t>
            </w:r>
          </w:p>
        </w:tc>
        <w:tc>
          <w:tcPr>
            <w:tcW w:w="4066" w:type="dxa"/>
            <w:tcBorders>
              <w:top w:val="single" w:color="auto" w:sz="6" w:space="0"/>
              <w:left w:val="single" w:color="auto" w:sz="6" w:space="0"/>
              <w:bottom w:val="single" w:color="auto" w:sz="6" w:space="0"/>
              <w:right w:val="single" w:color="auto" w:sz="6" w:space="0"/>
            </w:tcBorders>
            <w:vAlign w:val="center"/>
            <w:hideMark/>
          </w:tcPr>
          <w:p w:rsidRPr="00C86E62" w:rsidR="00AF7D53" w:rsidP="00AF7D53" w:rsidRDefault="00AF7D53" w14:paraId="3D1F7420" w14:textId="77777777">
            <w:pPr>
              <w:rPr>
                <w:rFonts w:ascii="IBM Plex Sans" w:hAnsi="IBM Plex Sans"/>
                <w:sz w:val="20"/>
                <w:szCs w:val="20"/>
                <w:lang w:val="en-GB"/>
              </w:rPr>
            </w:pPr>
            <w:r w:rsidRPr="00C86E62">
              <w:rPr>
                <w:rFonts w:ascii="IBM Plex Sans" w:hAnsi="IBM Plex Sans"/>
                <w:sz w:val="20"/>
                <w:szCs w:val="20"/>
                <w:lang w:val="en-GB"/>
              </w:rPr>
              <w:t>Hiring/Funding indicates an expanding budget.</w:t>
            </w:r>
          </w:p>
        </w:tc>
      </w:tr>
      <w:tr w:rsidRPr="00517AD4" w:rsidR="00AF7D53" w:rsidTr="00CD7BCF" w14:paraId="4A8DAAD9" w14:textId="77777777">
        <w:trPr>
          <w:tblCellSpacing w:w="15" w:type="dxa"/>
        </w:trPr>
        <w:tc>
          <w:tcPr>
            <w:tcW w:w="1932" w:type="dxa"/>
            <w:tcBorders>
              <w:top w:val="single" w:color="auto" w:sz="6" w:space="0"/>
              <w:left w:val="single" w:color="auto" w:sz="6" w:space="0"/>
              <w:bottom w:val="single" w:color="auto" w:sz="6" w:space="0"/>
              <w:right w:val="single" w:color="auto" w:sz="6" w:space="0"/>
            </w:tcBorders>
            <w:vAlign w:val="center"/>
            <w:hideMark/>
          </w:tcPr>
          <w:p w:rsidRPr="00C86E62" w:rsidR="00AF7D53" w:rsidP="00AF7D53" w:rsidRDefault="00AF7D53" w14:paraId="52869E74" w14:textId="77777777">
            <w:pPr>
              <w:rPr>
                <w:rFonts w:ascii="IBM Plex Sans" w:hAnsi="IBM Plex Sans"/>
                <w:sz w:val="20"/>
                <w:szCs w:val="20"/>
              </w:rPr>
            </w:pPr>
            <w:proofErr w:type="spellStart"/>
            <w:r w:rsidRPr="00C86E62">
              <w:rPr>
                <w:rFonts w:ascii="IBM Plex Sans" w:hAnsi="IBM Plex Sans"/>
                <w:b/>
                <w:bCs/>
                <w:sz w:val="20"/>
                <w:szCs w:val="20"/>
              </w:rPr>
              <w:t>Buying</w:t>
            </w:r>
            <w:proofErr w:type="spellEnd"/>
            <w:r w:rsidRPr="00C86E62">
              <w:rPr>
                <w:rFonts w:ascii="IBM Plex Sans" w:hAnsi="IBM Plex Sans"/>
                <w:b/>
                <w:bCs/>
                <w:sz w:val="20"/>
                <w:szCs w:val="20"/>
              </w:rPr>
              <w:t xml:space="preserve"> Trigger</w:t>
            </w:r>
          </w:p>
        </w:tc>
        <w:tc>
          <w:tcPr>
            <w:tcW w:w="1529" w:type="dxa"/>
            <w:tcBorders>
              <w:top w:val="single" w:color="auto" w:sz="6" w:space="0"/>
              <w:left w:val="single" w:color="auto" w:sz="6" w:space="0"/>
              <w:bottom w:val="single" w:color="auto" w:sz="6" w:space="0"/>
              <w:right w:val="single" w:color="auto" w:sz="6" w:space="0"/>
            </w:tcBorders>
            <w:vAlign w:val="center"/>
            <w:hideMark/>
          </w:tcPr>
          <w:p w:rsidRPr="00C86E62" w:rsidR="00AF7D53" w:rsidP="00AF7D53" w:rsidRDefault="00AF7D53" w14:paraId="11799B17" w14:textId="77777777">
            <w:pPr>
              <w:rPr>
                <w:rFonts w:ascii="IBM Plex Sans" w:hAnsi="IBM Plex Sans"/>
                <w:sz w:val="20"/>
                <w:szCs w:val="20"/>
              </w:rPr>
            </w:pPr>
            <w:r w:rsidRPr="00C86E62">
              <w:rPr>
                <w:rFonts w:ascii="IBM Plex Sans" w:hAnsi="IBM Plex Sans"/>
                <w:sz w:val="20"/>
                <w:szCs w:val="20"/>
              </w:rPr>
              <w:t>1 - 5</w:t>
            </w:r>
          </w:p>
        </w:tc>
        <w:tc>
          <w:tcPr>
            <w:tcW w:w="1104" w:type="dxa"/>
            <w:tcBorders>
              <w:top w:val="single" w:color="auto" w:sz="6" w:space="0"/>
              <w:left w:val="single" w:color="auto" w:sz="6" w:space="0"/>
              <w:bottom w:val="single" w:color="auto" w:sz="6" w:space="0"/>
              <w:right w:val="single" w:color="auto" w:sz="6" w:space="0"/>
            </w:tcBorders>
            <w:vAlign w:val="center"/>
            <w:hideMark/>
          </w:tcPr>
          <w:p w:rsidRPr="00C86E62" w:rsidR="00AF7D53" w:rsidP="00AF7D53" w:rsidRDefault="00AF7D53" w14:paraId="013F77C2" w14:textId="77777777">
            <w:pPr>
              <w:rPr>
                <w:rFonts w:ascii="IBM Plex Sans" w:hAnsi="IBM Plex Sans"/>
                <w:sz w:val="20"/>
                <w:szCs w:val="20"/>
              </w:rPr>
            </w:pPr>
            <w:r w:rsidRPr="00C86E62">
              <w:rPr>
                <w:rFonts w:ascii="IBM Plex Sans" w:hAnsi="IBM Plex Sans"/>
                <w:b/>
                <w:bCs/>
                <w:sz w:val="20"/>
                <w:szCs w:val="20"/>
              </w:rPr>
              <w:t>40%</w:t>
            </w:r>
          </w:p>
        </w:tc>
        <w:tc>
          <w:tcPr>
            <w:tcW w:w="4066" w:type="dxa"/>
            <w:tcBorders>
              <w:top w:val="single" w:color="auto" w:sz="6" w:space="0"/>
              <w:left w:val="single" w:color="auto" w:sz="6" w:space="0"/>
              <w:bottom w:val="single" w:color="auto" w:sz="6" w:space="0"/>
              <w:right w:val="single" w:color="auto" w:sz="6" w:space="0"/>
            </w:tcBorders>
            <w:vAlign w:val="center"/>
            <w:hideMark/>
          </w:tcPr>
          <w:p w:rsidRPr="00C86E62" w:rsidR="00AF7D53" w:rsidP="00AF7D53" w:rsidRDefault="00AF7D53" w14:paraId="7AE1FC01" w14:textId="77777777">
            <w:pPr>
              <w:rPr>
                <w:rFonts w:ascii="IBM Plex Sans" w:hAnsi="IBM Plex Sans"/>
                <w:sz w:val="20"/>
                <w:szCs w:val="20"/>
                <w:lang w:val="en-GB"/>
              </w:rPr>
            </w:pPr>
            <w:r w:rsidRPr="00C86E62">
              <w:rPr>
                <w:rFonts w:ascii="IBM Plex Sans" w:hAnsi="IBM Plex Sans"/>
                <w:b/>
                <w:bCs/>
                <w:sz w:val="20"/>
                <w:szCs w:val="20"/>
                <w:lang w:val="en-GB"/>
              </w:rPr>
              <w:t>Primary Driver:</w:t>
            </w:r>
            <w:r w:rsidRPr="00C86E62">
              <w:rPr>
                <w:rFonts w:ascii="IBM Plex Sans" w:hAnsi="IBM Plex Sans"/>
                <w:sz w:val="20"/>
                <w:szCs w:val="20"/>
                <w:lang w:val="en-GB"/>
              </w:rPr>
              <w:t xml:space="preserve"> An office move is the strongest reason to buy.</w:t>
            </w:r>
          </w:p>
        </w:tc>
      </w:tr>
      <w:tr w:rsidRPr="00517AD4" w:rsidR="00AF7D53" w:rsidTr="00CD7BCF" w14:paraId="7CD764DA" w14:textId="77777777">
        <w:trPr>
          <w:tblCellSpacing w:w="15" w:type="dxa"/>
        </w:trPr>
        <w:tc>
          <w:tcPr>
            <w:tcW w:w="1932" w:type="dxa"/>
            <w:tcBorders>
              <w:top w:val="single" w:color="auto" w:sz="6" w:space="0"/>
              <w:left w:val="single" w:color="auto" w:sz="6" w:space="0"/>
              <w:bottom w:val="single" w:color="auto" w:sz="6" w:space="0"/>
              <w:right w:val="single" w:color="auto" w:sz="6" w:space="0"/>
            </w:tcBorders>
            <w:vAlign w:val="center"/>
            <w:hideMark/>
          </w:tcPr>
          <w:p w:rsidRPr="00C86E62" w:rsidR="00AF7D53" w:rsidP="00AF7D53" w:rsidRDefault="00AF7D53" w14:paraId="37E02F35" w14:textId="77777777">
            <w:pPr>
              <w:rPr>
                <w:rFonts w:ascii="IBM Plex Sans" w:hAnsi="IBM Plex Sans"/>
                <w:sz w:val="20"/>
                <w:szCs w:val="20"/>
              </w:rPr>
            </w:pPr>
            <w:r w:rsidRPr="00C86E62">
              <w:rPr>
                <w:rFonts w:ascii="IBM Plex Sans" w:hAnsi="IBM Plex Sans"/>
                <w:b/>
                <w:bCs/>
                <w:sz w:val="20"/>
                <w:szCs w:val="20"/>
              </w:rPr>
              <w:t>Engagement</w:t>
            </w:r>
          </w:p>
        </w:tc>
        <w:tc>
          <w:tcPr>
            <w:tcW w:w="1529" w:type="dxa"/>
            <w:tcBorders>
              <w:top w:val="single" w:color="auto" w:sz="6" w:space="0"/>
              <w:left w:val="single" w:color="auto" w:sz="6" w:space="0"/>
              <w:bottom w:val="single" w:color="auto" w:sz="6" w:space="0"/>
              <w:right w:val="single" w:color="auto" w:sz="6" w:space="0"/>
            </w:tcBorders>
            <w:vAlign w:val="center"/>
            <w:hideMark/>
          </w:tcPr>
          <w:p w:rsidRPr="00C86E62" w:rsidR="00AF7D53" w:rsidP="00AF7D53" w:rsidRDefault="00AF7D53" w14:paraId="2E7FDF12" w14:textId="77777777">
            <w:pPr>
              <w:rPr>
                <w:rFonts w:ascii="IBM Plex Sans" w:hAnsi="IBM Plex Sans"/>
                <w:sz w:val="20"/>
                <w:szCs w:val="20"/>
              </w:rPr>
            </w:pPr>
            <w:r w:rsidRPr="00C86E62">
              <w:rPr>
                <w:rFonts w:ascii="IBM Plex Sans" w:hAnsi="IBM Plex Sans"/>
                <w:sz w:val="20"/>
                <w:szCs w:val="20"/>
              </w:rPr>
              <w:t>1 - 5</w:t>
            </w:r>
          </w:p>
        </w:tc>
        <w:tc>
          <w:tcPr>
            <w:tcW w:w="1104" w:type="dxa"/>
            <w:tcBorders>
              <w:top w:val="single" w:color="auto" w:sz="6" w:space="0"/>
              <w:left w:val="single" w:color="auto" w:sz="6" w:space="0"/>
              <w:bottom w:val="single" w:color="auto" w:sz="6" w:space="0"/>
              <w:right w:val="single" w:color="auto" w:sz="6" w:space="0"/>
            </w:tcBorders>
            <w:vAlign w:val="center"/>
            <w:hideMark/>
          </w:tcPr>
          <w:p w:rsidRPr="00C86E62" w:rsidR="00AF7D53" w:rsidP="00AF7D53" w:rsidRDefault="00AF7D53" w14:paraId="7A9D6EB5" w14:textId="77777777">
            <w:pPr>
              <w:rPr>
                <w:rFonts w:ascii="IBM Plex Sans" w:hAnsi="IBM Plex Sans"/>
                <w:sz w:val="20"/>
                <w:szCs w:val="20"/>
              </w:rPr>
            </w:pPr>
            <w:r w:rsidRPr="00C86E62">
              <w:rPr>
                <w:rFonts w:ascii="IBM Plex Sans" w:hAnsi="IBM Plex Sans"/>
                <w:b/>
                <w:bCs/>
                <w:sz w:val="20"/>
                <w:szCs w:val="20"/>
              </w:rPr>
              <w:t>10%</w:t>
            </w:r>
          </w:p>
        </w:tc>
        <w:tc>
          <w:tcPr>
            <w:tcW w:w="4066" w:type="dxa"/>
            <w:tcBorders>
              <w:top w:val="single" w:color="auto" w:sz="6" w:space="0"/>
              <w:left w:val="single" w:color="auto" w:sz="6" w:space="0"/>
              <w:bottom w:val="single" w:color="auto" w:sz="6" w:space="0"/>
              <w:right w:val="single" w:color="auto" w:sz="6" w:space="0"/>
            </w:tcBorders>
            <w:vAlign w:val="center"/>
            <w:hideMark/>
          </w:tcPr>
          <w:p w:rsidRPr="00C86E62" w:rsidR="00AF7D53" w:rsidP="00AF7D53" w:rsidRDefault="00AF7D53" w14:paraId="04AD064D" w14:textId="77777777">
            <w:pPr>
              <w:rPr>
                <w:rFonts w:ascii="IBM Plex Sans" w:hAnsi="IBM Plex Sans"/>
                <w:sz w:val="20"/>
                <w:szCs w:val="20"/>
                <w:lang w:val="en-GB"/>
              </w:rPr>
            </w:pPr>
            <w:r w:rsidRPr="00C86E62">
              <w:rPr>
                <w:rFonts w:ascii="IBM Plex Sans" w:hAnsi="IBM Plex Sans"/>
                <w:sz w:val="20"/>
                <w:szCs w:val="20"/>
                <w:lang w:val="en-GB"/>
              </w:rPr>
              <w:t>Helpful, but a "cold" move is better than a "warm" stagnant account.</w:t>
            </w:r>
          </w:p>
        </w:tc>
      </w:tr>
    </w:tbl>
    <w:p w:rsidR="00AF7D53" w:rsidP="00AF7D53" w:rsidRDefault="00AF7D53" w14:paraId="6E44F7D4" w14:textId="10980647">
      <w:pPr>
        <w:rPr>
          <w:rFonts w:ascii="IBM Plex Sans" w:hAnsi="IBM Plex Sans"/>
          <w:lang w:val="en-GB"/>
        </w:rPr>
      </w:pPr>
    </w:p>
    <w:p w:rsidRPr="00517AD4" w:rsidR="00517AD4" w:rsidP="00517AD4" w:rsidRDefault="00472876" w14:paraId="53538E6A" w14:textId="22B9C8CC">
      <w:pPr>
        <w:rPr>
          <w:rFonts w:ascii="IBM Plex Sans" w:hAnsi="IBM Plex Sans"/>
          <w:lang w:val="en-GB"/>
        </w:rPr>
      </w:pPr>
      <w:r w:rsidRPr="00472876">
        <w:rPr>
          <w:rFonts w:ascii="IBM Plex Sans" w:hAnsi="IBM Plex Sans"/>
          <w:lang w:val="en-GB"/>
        </w:rPr>
        <w:t xml:space="preserve">Please note that this prioritization activity </w:t>
      </w:r>
      <w:r>
        <w:rPr>
          <w:rFonts w:ascii="IBM Plex Sans" w:hAnsi="IBM Plex Sans"/>
          <w:lang w:val="en-GB"/>
        </w:rPr>
        <w:t xml:space="preserve">will </w:t>
      </w:r>
      <w:r w:rsidRPr="00472876">
        <w:rPr>
          <w:rFonts w:ascii="IBM Plex Sans" w:hAnsi="IBM Plex Sans"/>
          <w:lang w:val="en-GB"/>
        </w:rPr>
        <w:t xml:space="preserve">focus exclusively on objective corporate event data and firmographic alignment, so </w:t>
      </w:r>
      <w:r w:rsidRPr="00472876">
        <w:rPr>
          <w:rFonts w:ascii="IBM Plex Sans" w:hAnsi="IBM Plex Sans"/>
          <w:b/>
          <w:bCs/>
          <w:i/>
          <w:iCs/>
          <w:lang w:val="en-GB"/>
        </w:rPr>
        <w:t>E</w:t>
      </w:r>
      <w:r w:rsidRPr="00472876">
        <w:rPr>
          <w:rFonts w:ascii="IBM Plex Sans" w:hAnsi="IBM Plex Sans"/>
          <w:b/>
          <w:bCs/>
          <w:i/>
          <w:iCs/>
          <w:lang w:val="en-GB"/>
        </w:rPr>
        <w:t>ngagement</w:t>
      </w:r>
      <w:r w:rsidRPr="00472876">
        <w:rPr>
          <w:rFonts w:ascii="IBM Plex Sans" w:hAnsi="IBM Plex Sans"/>
          <w:lang w:val="en-GB"/>
        </w:rPr>
        <w:t xml:space="preserve"> metrics </w:t>
      </w:r>
      <w:r>
        <w:rPr>
          <w:rFonts w:ascii="IBM Plex Sans" w:hAnsi="IBM Plex Sans"/>
          <w:lang w:val="en-GB"/>
        </w:rPr>
        <w:t>we</w:t>
      </w:r>
      <w:r w:rsidRPr="00472876">
        <w:rPr>
          <w:rFonts w:ascii="IBM Plex Sans" w:hAnsi="IBM Plex Sans"/>
          <w:lang w:val="en-GB"/>
        </w:rPr>
        <w:t>re excluded from this scoring model</w:t>
      </w:r>
      <w:r>
        <w:rPr>
          <w:rFonts w:ascii="IBM Plex Sans" w:hAnsi="IBM Plex Sans"/>
          <w:lang w:val="en-GB"/>
        </w:rPr>
        <w:t>. For the purposes of this Lab activity, the weight configuration will follow the following %:</w:t>
      </w:r>
    </w:p>
    <w:p w:rsidRPr="00472876" w:rsidR="00517AD4" w:rsidP="00517AD4" w:rsidRDefault="00517AD4" w14:paraId="478B6980" w14:textId="1D816A3E">
      <w:pPr>
        <w:numPr>
          <w:ilvl w:val="0"/>
          <w:numId w:val="12"/>
        </w:numPr>
        <w:rPr>
          <w:rFonts w:ascii="IBM Plex Sans" w:hAnsi="IBM Plex Sans"/>
        </w:rPr>
      </w:pPr>
      <w:proofErr w:type="spellStart"/>
      <w:r w:rsidRPr="00472876">
        <w:rPr>
          <w:rFonts w:ascii="IBM Plex Sans" w:hAnsi="IBM Plex Sans"/>
        </w:rPr>
        <w:t>Firmographic</w:t>
      </w:r>
      <w:proofErr w:type="spellEnd"/>
      <w:r w:rsidRPr="00472876">
        <w:rPr>
          <w:rFonts w:ascii="IBM Plex Sans" w:hAnsi="IBM Plex Sans"/>
        </w:rPr>
        <w:t xml:space="preserve"> Fit </w:t>
      </w:r>
      <w:proofErr w:type="spellStart"/>
      <w:r w:rsidRPr="00472876">
        <w:rPr>
          <w:rFonts w:ascii="IBM Plex Sans" w:hAnsi="IBM Plex Sans"/>
        </w:rPr>
        <w:t>Weight</w:t>
      </w:r>
      <w:proofErr w:type="spellEnd"/>
      <w:r w:rsidRPr="00472876">
        <w:rPr>
          <w:rFonts w:ascii="IBM Plex Sans" w:hAnsi="IBM Plex Sans"/>
        </w:rPr>
        <w:t>: 20</w:t>
      </w:r>
      <w:r w:rsidRPr="00472876">
        <w:rPr>
          <w:rFonts w:ascii="IBM Plex Sans" w:hAnsi="IBM Plex Sans"/>
        </w:rPr>
        <w:t>%</w:t>
      </w:r>
    </w:p>
    <w:p w:rsidRPr="00472876" w:rsidR="00517AD4" w:rsidP="00517AD4" w:rsidRDefault="00517AD4" w14:paraId="4A5B2A0B" w14:textId="396ADBF9">
      <w:pPr>
        <w:numPr>
          <w:ilvl w:val="0"/>
          <w:numId w:val="12"/>
        </w:numPr>
        <w:rPr>
          <w:rFonts w:ascii="IBM Plex Sans" w:hAnsi="IBM Plex Sans"/>
        </w:rPr>
      </w:pPr>
      <w:r w:rsidRPr="00472876">
        <w:rPr>
          <w:rFonts w:ascii="IBM Plex Sans" w:hAnsi="IBM Plex Sans"/>
        </w:rPr>
        <w:t xml:space="preserve">Growth </w:t>
      </w:r>
      <w:proofErr w:type="spellStart"/>
      <w:r w:rsidRPr="00472876">
        <w:rPr>
          <w:rFonts w:ascii="IBM Plex Sans" w:hAnsi="IBM Plex Sans"/>
        </w:rPr>
        <w:t>Signal</w:t>
      </w:r>
      <w:proofErr w:type="spellEnd"/>
      <w:r w:rsidRPr="00472876">
        <w:rPr>
          <w:rFonts w:ascii="IBM Plex Sans" w:hAnsi="IBM Plex Sans"/>
        </w:rPr>
        <w:t xml:space="preserve"> </w:t>
      </w:r>
      <w:proofErr w:type="spellStart"/>
      <w:r w:rsidRPr="00472876">
        <w:rPr>
          <w:rFonts w:ascii="IBM Plex Sans" w:hAnsi="IBM Plex Sans"/>
        </w:rPr>
        <w:t>Weight</w:t>
      </w:r>
      <w:proofErr w:type="spellEnd"/>
      <w:r w:rsidRPr="00472876">
        <w:rPr>
          <w:rFonts w:ascii="IBM Plex Sans" w:hAnsi="IBM Plex Sans"/>
        </w:rPr>
        <w:t>: 30</w:t>
      </w:r>
      <w:r w:rsidRPr="00472876">
        <w:rPr>
          <w:rFonts w:ascii="IBM Plex Sans" w:hAnsi="IBM Plex Sans"/>
        </w:rPr>
        <w:t>%</w:t>
      </w:r>
    </w:p>
    <w:p w:rsidRPr="00472876" w:rsidR="00517AD4" w:rsidP="00517AD4" w:rsidRDefault="00517AD4" w14:paraId="2668B9F8" w14:textId="4B452B3E">
      <w:pPr>
        <w:numPr>
          <w:ilvl w:val="0"/>
          <w:numId w:val="12"/>
        </w:numPr>
        <w:rPr>
          <w:rFonts w:ascii="IBM Plex Sans" w:hAnsi="IBM Plex Sans"/>
        </w:rPr>
      </w:pPr>
      <w:proofErr w:type="spellStart"/>
      <w:r w:rsidRPr="00472876">
        <w:rPr>
          <w:rFonts w:ascii="IBM Plex Sans" w:hAnsi="IBM Plex Sans"/>
        </w:rPr>
        <w:t>Buying</w:t>
      </w:r>
      <w:proofErr w:type="spellEnd"/>
      <w:r w:rsidRPr="00472876">
        <w:rPr>
          <w:rFonts w:ascii="IBM Plex Sans" w:hAnsi="IBM Plex Sans"/>
        </w:rPr>
        <w:t xml:space="preserve"> Trigger </w:t>
      </w:r>
      <w:proofErr w:type="spellStart"/>
      <w:r w:rsidRPr="00472876">
        <w:rPr>
          <w:rFonts w:ascii="IBM Plex Sans" w:hAnsi="IBM Plex Sans"/>
        </w:rPr>
        <w:t>Weight</w:t>
      </w:r>
      <w:proofErr w:type="spellEnd"/>
      <w:r w:rsidRPr="00472876">
        <w:rPr>
          <w:rFonts w:ascii="IBM Plex Sans" w:hAnsi="IBM Plex Sans"/>
        </w:rPr>
        <w:t>: 50</w:t>
      </w:r>
      <w:r w:rsidRPr="00472876">
        <w:rPr>
          <w:rFonts w:ascii="IBM Plex Sans" w:hAnsi="IBM Plex Sans"/>
        </w:rPr>
        <w:t>%</w:t>
      </w:r>
    </w:p>
    <w:p w:rsidR="00517AD4" w:rsidP="00AF7D53" w:rsidRDefault="00517AD4" w14:paraId="574441A5" w14:textId="1AB32DFF">
      <w:pPr>
        <w:rPr>
          <w:rFonts w:ascii="IBM Plex Sans" w:hAnsi="IBM Plex Sans"/>
          <w:lang w:val="en-GB"/>
        </w:rPr>
      </w:pPr>
    </w:p>
    <w:p w:rsidR="00472876" w:rsidP="00AF7D53" w:rsidRDefault="00472876" w14:paraId="0FC8D140" w14:textId="77777777">
      <w:pPr>
        <w:rPr>
          <w:rFonts w:ascii="IBM Plex Sans" w:hAnsi="IBM Plex Sans"/>
          <w:lang w:val="en-GB"/>
        </w:rPr>
      </w:pPr>
    </w:p>
    <w:p w:rsidRPr="00517AD4" w:rsidR="00472876" w:rsidP="00AF7D53" w:rsidRDefault="00472876" w14:paraId="572B2CC2" w14:textId="77777777">
      <w:pPr>
        <w:rPr>
          <w:rFonts w:ascii="IBM Plex Sans" w:hAnsi="IBM Plex Sans"/>
          <w:lang w:val="en-GB"/>
        </w:rPr>
      </w:pPr>
    </w:p>
    <w:p w:rsidRPr="00AF7D53" w:rsidR="00AF7D53" w:rsidP="00AF7D53" w:rsidRDefault="00AF7D53" w14:paraId="66E46AF0" w14:textId="77777777">
      <w:pPr>
        <w:rPr>
          <w:rFonts w:ascii="IBM Plex Sans" w:hAnsi="IBM Plex Sans"/>
          <w:b/>
          <w:bCs/>
          <w:lang w:val="en-GB"/>
        </w:rPr>
      </w:pPr>
      <w:r w:rsidRPr="00AF7D53">
        <w:rPr>
          <w:rFonts w:ascii="IBM Plex Sans" w:hAnsi="IBM Plex Sans"/>
          <w:b/>
          <w:bCs/>
          <w:lang w:val="en-GB"/>
        </w:rPr>
        <w:lastRenderedPageBreak/>
        <w:t>2. Understanding the Tiering Output</w:t>
      </w:r>
    </w:p>
    <w:p w:rsidR="00AF7D53" w:rsidP="00AF7D53" w:rsidRDefault="00AF7D53" w14:paraId="0911C178" w14:textId="5DBF611F">
      <w:pPr>
        <w:rPr>
          <w:rFonts w:ascii="IBM Plex Sans" w:hAnsi="IBM Plex Sans"/>
          <w:lang w:val="en-GB"/>
        </w:rPr>
      </w:pPr>
      <w:r w:rsidRPr="00AF7D53">
        <w:rPr>
          <w:rFonts w:ascii="IBM Plex Sans" w:hAnsi="IBM Plex Sans"/>
          <w:lang w:val="en-GB"/>
        </w:rPr>
        <w:t>After you calculate the total score for your accounts in Lab 1.2, you will group them into the following Tiers. This tells you exactly how much time to invest in each lead.</w:t>
      </w:r>
    </w:p>
    <w:p w:rsidRPr="005E752D" w:rsidR="005E752D" w:rsidP="005E752D" w:rsidRDefault="005E752D" w14:paraId="1BEF6711" w14:textId="388FB2EC">
      <w:pPr>
        <w:pStyle w:val="ListParagraph"/>
        <w:numPr>
          <w:ilvl w:val="0"/>
          <w:numId w:val="5"/>
        </w:numPr>
        <w:rPr>
          <w:rFonts w:ascii="IBM Plex Sans" w:hAnsi="IBM Plex Sans"/>
          <w:lang w:val="en-GB"/>
        </w:rPr>
      </w:pPr>
      <w:r w:rsidRPr="005E752D">
        <w:rPr>
          <w:rFonts w:ascii="IBM Plex Sans" w:hAnsi="IBM Plex Sans"/>
          <w:b/>
          <w:bCs/>
          <w:lang w:val="en-GB"/>
        </w:rPr>
        <w:t>Tier A (Weighted Score 4.1 to 5.0): High Priority / Deep Research</w:t>
      </w:r>
    </w:p>
    <w:p w:rsidRPr="005E752D" w:rsidR="005E752D" w:rsidP="005E752D" w:rsidRDefault="005E752D" w14:paraId="4A51A8A1" w14:textId="40BF6DB3">
      <w:pPr>
        <w:numPr>
          <w:ilvl w:val="0"/>
          <w:numId w:val="8"/>
        </w:numPr>
        <w:rPr>
          <w:rFonts w:ascii="IBM Plex Sans" w:hAnsi="IBM Plex Sans"/>
          <w:lang w:val="en-GB"/>
        </w:rPr>
      </w:pPr>
      <w:r w:rsidRPr="005E752D">
        <w:rPr>
          <w:rFonts w:ascii="IBM Plex Sans" w:hAnsi="IBM Plex Sans"/>
          <w:i/>
          <w:iCs/>
          <w:lang w:val="en-GB"/>
        </w:rPr>
        <w:t>Action Plan:</w:t>
      </w:r>
      <w:r w:rsidRPr="005E752D">
        <w:rPr>
          <w:rFonts w:ascii="IBM Plex Sans" w:hAnsi="IBM Plex Sans"/>
          <w:lang w:val="en-GB"/>
        </w:rPr>
        <w:t xml:space="preserve"> Invest fifteen minutes of deep intelligence gathering per account. Map the entire buying committee and craft highly personalized </w:t>
      </w:r>
      <w:r w:rsidRPr="005E752D" w:rsidR="00390B7A">
        <w:rPr>
          <w:rFonts w:ascii="IBM Plex Sans" w:hAnsi="IBM Plex Sans"/>
          <w:lang w:val="en-GB"/>
        </w:rPr>
        <w:t>multi-channel</w:t>
      </w:r>
      <w:r w:rsidRPr="005E752D">
        <w:rPr>
          <w:rFonts w:ascii="IBM Plex Sans" w:hAnsi="IBM Plex Sans"/>
          <w:lang w:val="en-GB"/>
        </w:rPr>
        <w:t xml:space="preserve"> outreach sequences.</w:t>
      </w:r>
    </w:p>
    <w:p w:rsidRPr="005E752D" w:rsidR="005E752D" w:rsidP="005E752D" w:rsidRDefault="005E752D" w14:paraId="39BEFDD5" w14:textId="128CB68A">
      <w:pPr>
        <w:pStyle w:val="ListParagraph"/>
        <w:numPr>
          <w:ilvl w:val="0"/>
          <w:numId w:val="6"/>
        </w:numPr>
        <w:rPr>
          <w:rFonts w:ascii="IBM Plex Sans" w:hAnsi="IBM Plex Sans"/>
          <w:lang w:val="en-GB"/>
        </w:rPr>
      </w:pPr>
      <w:r w:rsidRPr="005E752D">
        <w:rPr>
          <w:rFonts w:ascii="IBM Plex Sans" w:hAnsi="IBM Plex Sans"/>
          <w:b/>
          <w:bCs/>
          <w:lang w:val="en-GB"/>
        </w:rPr>
        <w:t>Tier B (Weighted Score 3.0 to 4.0): Medium Priority / Rapid Personalization</w:t>
      </w:r>
    </w:p>
    <w:p w:rsidRPr="005E752D" w:rsidR="005E752D" w:rsidP="005E752D" w:rsidRDefault="005E752D" w14:paraId="6F1CA9F2" w14:textId="77777777">
      <w:pPr>
        <w:numPr>
          <w:ilvl w:val="1"/>
          <w:numId w:val="8"/>
        </w:numPr>
        <w:rPr>
          <w:rFonts w:ascii="IBM Plex Sans" w:hAnsi="IBM Plex Sans"/>
          <w:lang w:val="en-GB"/>
        </w:rPr>
      </w:pPr>
      <w:r w:rsidRPr="005E752D">
        <w:rPr>
          <w:rFonts w:ascii="IBM Plex Sans" w:hAnsi="IBM Plex Sans"/>
          <w:i/>
          <w:iCs/>
          <w:lang w:val="en-GB"/>
        </w:rPr>
        <w:t>Action Plan:</w:t>
      </w:r>
      <w:r w:rsidRPr="005E752D">
        <w:rPr>
          <w:rFonts w:ascii="IBM Plex Sans" w:hAnsi="IBM Plex Sans"/>
          <w:lang w:val="en-GB"/>
        </w:rPr>
        <w:t xml:space="preserve"> Apply the 3 by 3 research method (uncover three relevant data points in three minutes) to customize email templates before making introductory calls.</w:t>
      </w:r>
    </w:p>
    <w:p w:rsidRPr="005E752D" w:rsidR="005E752D" w:rsidP="005E752D" w:rsidRDefault="005E752D" w14:paraId="39B09363" w14:textId="0B8490EF">
      <w:pPr>
        <w:pStyle w:val="ListParagraph"/>
        <w:numPr>
          <w:ilvl w:val="0"/>
          <w:numId w:val="7"/>
        </w:numPr>
        <w:rPr>
          <w:rFonts w:ascii="IBM Plex Sans" w:hAnsi="IBM Plex Sans"/>
          <w:lang w:val="en-GB"/>
        </w:rPr>
      </w:pPr>
      <w:r w:rsidRPr="005E752D">
        <w:rPr>
          <w:rFonts w:ascii="IBM Plex Sans" w:hAnsi="IBM Plex Sans"/>
          <w:b/>
          <w:bCs/>
          <w:lang w:val="en-GB"/>
        </w:rPr>
        <w:t>Tier C (Weighted Score Below 3.0): Low Priority / Automated Nurturing</w:t>
      </w:r>
    </w:p>
    <w:p w:rsidRPr="005E752D" w:rsidR="005E752D" w:rsidP="005E752D" w:rsidRDefault="005E752D" w14:paraId="46131B26" w14:textId="77777777">
      <w:pPr>
        <w:numPr>
          <w:ilvl w:val="1"/>
          <w:numId w:val="8"/>
        </w:numPr>
        <w:rPr>
          <w:rFonts w:ascii="IBM Plex Sans" w:hAnsi="IBM Plex Sans"/>
          <w:lang w:val="en-GB"/>
        </w:rPr>
      </w:pPr>
      <w:r w:rsidRPr="005E752D">
        <w:rPr>
          <w:rFonts w:ascii="IBM Plex Sans" w:hAnsi="IBM Plex Sans"/>
          <w:i/>
          <w:iCs/>
          <w:lang w:val="en-GB"/>
        </w:rPr>
        <w:t>Action Plan:</w:t>
      </w:r>
      <w:r w:rsidRPr="005E752D">
        <w:rPr>
          <w:rFonts w:ascii="IBM Plex Sans" w:hAnsi="IBM Plex Sans"/>
          <w:lang w:val="en-GB"/>
        </w:rPr>
        <w:t xml:space="preserve"> Do not execute manual phone outreach. Route these accounts entirely into automated marketing email tracks to monitor for future buying signals.</w:t>
      </w:r>
    </w:p>
    <w:p w:rsidRPr="00C86E62" w:rsidR="005E752D" w:rsidP="00AF7D53" w:rsidRDefault="005E752D" w14:paraId="4F95F290" w14:textId="77777777">
      <w:pPr>
        <w:rPr>
          <w:rFonts w:ascii="IBM Plex Sans" w:hAnsi="IBM Plex Sans"/>
          <w:lang w:val="en-GB"/>
        </w:rPr>
      </w:pPr>
    </w:p>
    <w:p w:rsidRPr="00C86E62" w:rsidR="00CD7BCF" w:rsidP="00AF7D53" w:rsidRDefault="00CD7BCF" w14:paraId="4FF82F13" w14:textId="77777777">
      <w:pPr>
        <w:rPr>
          <w:rFonts w:ascii="IBM Plex Sans" w:hAnsi="IBM Plex Sans"/>
          <w:lang w:val="en-GB"/>
        </w:rPr>
      </w:pPr>
    </w:p>
    <w:p w:rsidRPr="00AF7D53" w:rsidR="00AF7D53" w:rsidP="00AF7D53" w:rsidRDefault="00AF7D53" w14:paraId="0937C302" w14:textId="77777777">
      <w:pPr>
        <w:rPr>
          <w:rFonts w:ascii="IBM Plex Sans" w:hAnsi="IBM Plex Sans"/>
          <w:b/>
          <w:bCs/>
          <w:lang w:val="en-GB"/>
        </w:rPr>
      </w:pPr>
      <w:r w:rsidRPr="00AF7D53">
        <w:rPr>
          <w:rFonts w:ascii="IBM Plex Sans" w:hAnsi="IBM Plex Sans"/>
          <w:b/>
          <w:bCs/>
          <w:lang w:val="en-GB"/>
        </w:rPr>
        <w:t>3. Buying Committee Stakeholder Map</w:t>
      </w:r>
    </w:p>
    <w:p w:rsidRPr="00AF7D53" w:rsidR="00AF7D53" w:rsidP="00AF7D53" w:rsidRDefault="00AF7D53" w14:paraId="3B40CFDC" w14:textId="77777777">
      <w:pPr>
        <w:rPr>
          <w:rFonts w:ascii="IBM Plex Sans" w:hAnsi="IBM Plex Sans"/>
          <w:lang w:val="en-GB"/>
        </w:rPr>
      </w:pPr>
      <w:r w:rsidRPr="00AF7D53">
        <w:rPr>
          <w:rFonts w:ascii="IBM Plex Sans" w:hAnsi="IBM Plex Sans"/>
          <w:lang w:val="en-GB"/>
        </w:rPr>
        <w:t xml:space="preserve">Once you identify a </w:t>
      </w:r>
      <w:r w:rsidRPr="00C86E62">
        <w:rPr>
          <w:rFonts w:ascii="IBM Plex Sans" w:hAnsi="IBM Plex Sans"/>
          <w:lang w:val="en-GB"/>
        </w:rPr>
        <w:t>Tier A</w:t>
      </w:r>
      <w:r w:rsidRPr="00AF7D53">
        <w:rPr>
          <w:rFonts w:ascii="IBM Plex Sans" w:hAnsi="IBM Plex Sans"/>
          <w:lang w:val="en-GB"/>
        </w:rPr>
        <w:t xml:space="preserve"> account, your next step is to find these three specific roles. You will need to tailor your message to their specific "pain points":</w:t>
      </w:r>
    </w:p>
    <w:p w:rsidRPr="00390B7A" w:rsidR="00390B7A" w:rsidP="00390B7A" w:rsidRDefault="00390B7A" w14:paraId="747CDAAD" w14:textId="3047EF05">
      <w:pPr>
        <w:pStyle w:val="ListParagraph"/>
        <w:numPr>
          <w:ilvl w:val="0"/>
          <w:numId w:val="9"/>
        </w:numPr>
        <w:rPr>
          <w:rFonts w:ascii="IBM Plex Sans" w:hAnsi="IBM Plex Sans"/>
          <w:lang w:val="en-GB"/>
        </w:rPr>
      </w:pPr>
      <w:r w:rsidRPr="00390B7A">
        <w:rPr>
          <w:rFonts w:ascii="IBM Plex Sans" w:hAnsi="IBM Plex Sans"/>
          <w:lang w:val="en-GB"/>
        </w:rPr>
        <w:t>The Champion (Head of People or Human Resources Lead)</w:t>
      </w:r>
    </w:p>
    <w:p w:rsidRPr="00390B7A" w:rsidR="00390B7A" w:rsidP="00390B7A" w:rsidRDefault="00390B7A" w14:paraId="74DE0832" w14:textId="77777777">
      <w:pPr>
        <w:numPr>
          <w:ilvl w:val="0"/>
          <w:numId w:val="8"/>
        </w:numPr>
        <w:rPr>
          <w:rFonts w:ascii="IBM Plex Sans" w:hAnsi="IBM Plex Sans"/>
          <w:lang w:val="en-GB"/>
        </w:rPr>
      </w:pPr>
      <w:r w:rsidRPr="00390B7A">
        <w:rPr>
          <w:rFonts w:ascii="IBM Plex Sans" w:hAnsi="IBM Plex Sans"/>
          <w:i/>
          <w:iCs/>
          <w:lang w:val="en-GB"/>
        </w:rPr>
        <w:t>Core Focus:</w:t>
      </w:r>
      <w:r w:rsidRPr="00390B7A">
        <w:rPr>
          <w:rFonts w:ascii="IBM Plex Sans" w:hAnsi="IBM Plex Sans"/>
          <w:lang w:val="en-GB"/>
        </w:rPr>
        <w:t xml:space="preserve"> Employee experience, workspace design, team morale, and talent retention metrics.</w:t>
      </w:r>
    </w:p>
    <w:p w:rsidRPr="00390B7A" w:rsidR="00390B7A" w:rsidP="00390B7A" w:rsidRDefault="00390B7A" w14:paraId="04ED4EFE" w14:textId="4ACE4531">
      <w:pPr>
        <w:pStyle w:val="ListParagraph"/>
        <w:numPr>
          <w:ilvl w:val="0"/>
          <w:numId w:val="10"/>
        </w:numPr>
        <w:rPr>
          <w:rFonts w:ascii="IBM Plex Sans" w:hAnsi="IBM Plex Sans"/>
          <w:lang w:val="en-GB"/>
        </w:rPr>
      </w:pPr>
      <w:r w:rsidRPr="00390B7A">
        <w:rPr>
          <w:rFonts w:ascii="IBM Plex Sans" w:hAnsi="IBM Plex Sans"/>
          <w:lang w:val="en-GB"/>
        </w:rPr>
        <w:t>The Economic Buyer (Chief Financial Officer or Company Founder)</w:t>
      </w:r>
    </w:p>
    <w:p w:rsidRPr="00390B7A" w:rsidR="00390B7A" w:rsidP="00390B7A" w:rsidRDefault="00390B7A" w14:paraId="1EFC1E3F" w14:textId="77777777">
      <w:pPr>
        <w:numPr>
          <w:ilvl w:val="0"/>
          <w:numId w:val="8"/>
        </w:numPr>
        <w:rPr>
          <w:rFonts w:ascii="IBM Plex Sans" w:hAnsi="IBM Plex Sans"/>
          <w:lang w:val="en-GB"/>
        </w:rPr>
      </w:pPr>
      <w:r w:rsidRPr="00390B7A">
        <w:rPr>
          <w:rFonts w:ascii="IBM Plex Sans" w:hAnsi="IBM Plex Sans"/>
          <w:i/>
          <w:iCs/>
          <w:lang w:val="en-GB"/>
        </w:rPr>
        <w:t>Core Focus:</w:t>
      </w:r>
      <w:r w:rsidRPr="00390B7A">
        <w:rPr>
          <w:rFonts w:ascii="IBM Plex Sans" w:hAnsi="IBM Plex Sans"/>
          <w:lang w:val="en-GB"/>
        </w:rPr>
        <w:t xml:space="preserve"> Return on investment, capital preservation, long term durability, and fast delivery timelines.</w:t>
      </w:r>
    </w:p>
    <w:p w:rsidRPr="00390B7A" w:rsidR="00390B7A" w:rsidP="00390B7A" w:rsidRDefault="00390B7A" w14:paraId="492124A9" w14:textId="4A0F2FF1">
      <w:pPr>
        <w:pStyle w:val="ListParagraph"/>
        <w:numPr>
          <w:ilvl w:val="0"/>
          <w:numId w:val="11"/>
        </w:numPr>
        <w:rPr>
          <w:rFonts w:ascii="IBM Plex Sans" w:hAnsi="IBM Plex Sans"/>
          <w:lang w:val="en-GB"/>
        </w:rPr>
      </w:pPr>
      <w:r w:rsidRPr="00390B7A">
        <w:rPr>
          <w:rFonts w:ascii="IBM Plex Sans" w:hAnsi="IBM Plex Sans"/>
          <w:lang w:val="en-GB"/>
        </w:rPr>
        <w:t>The Technical Buyer (Facilities Manager or Information Technology Lead)</w:t>
      </w:r>
    </w:p>
    <w:p w:rsidRPr="00390B7A" w:rsidR="00390B7A" w:rsidP="00390B7A" w:rsidRDefault="00390B7A" w14:paraId="17885611" w14:textId="77777777">
      <w:pPr>
        <w:numPr>
          <w:ilvl w:val="0"/>
          <w:numId w:val="8"/>
        </w:numPr>
        <w:rPr>
          <w:rFonts w:ascii="IBM Plex Sans" w:hAnsi="IBM Plex Sans"/>
          <w:lang w:val="en-GB"/>
        </w:rPr>
      </w:pPr>
      <w:r w:rsidRPr="521EDC7D" w:rsidR="71913CA9">
        <w:rPr>
          <w:rFonts w:ascii="IBM Plex Sans" w:hAnsi="IBM Plex Sans"/>
          <w:i w:val="1"/>
          <w:iCs w:val="1"/>
          <w:lang w:val="en-GB"/>
        </w:rPr>
        <w:t>Core Focus:</w:t>
      </w:r>
      <w:r w:rsidRPr="521EDC7D" w:rsidR="71913CA9">
        <w:rPr>
          <w:rFonts w:ascii="IBM Plex Sans" w:hAnsi="IBM Plex Sans"/>
          <w:lang w:val="en-GB"/>
        </w:rPr>
        <w:t xml:space="preserve"> Space optimization logistics, ergonomics, cable management safety, and zero business disruption during installation.</w:t>
      </w:r>
    </w:p>
    <w:p w:rsidR="521EDC7D" w:rsidP="521EDC7D" w:rsidRDefault="521EDC7D" w14:paraId="7F8FD99D" w14:textId="1F7EABF5">
      <w:pPr>
        <w:rPr>
          <w:rFonts w:ascii="IBM Plex Sans" w:hAnsi="IBM Plex Sans"/>
          <w:lang w:val="en-GB"/>
        </w:rPr>
      </w:pPr>
    </w:p>
    <w:p w:rsidR="481DA570" w:rsidP="521EDC7D" w:rsidRDefault="481DA570" w14:paraId="2BAFFFA9" w14:textId="7B3EF028">
      <w:pPr>
        <w:spacing w:before="240" w:beforeAutospacing="off" w:after="240" w:afterAutospacing="off"/>
      </w:pPr>
      <w:r w:rsidRPr="521EDC7D" w:rsidR="481DA570">
        <w:rPr>
          <w:rFonts w:ascii="IBM Plex Sans" w:hAnsi="IBM Plex Sans" w:eastAsia="IBM Plex Sans" w:cs="IBM Plex Sans"/>
          <w:b w:val="1"/>
          <w:bCs w:val="1"/>
          <w:i w:val="0"/>
          <w:iCs w:val="0"/>
          <w:caps w:val="0"/>
          <w:smallCaps w:val="0"/>
          <w:noProof w:val="0"/>
          <w:color w:val="000000" w:themeColor="text1" w:themeTint="FF" w:themeShade="FF"/>
          <w:sz w:val="22"/>
          <w:szCs w:val="22"/>
          <w:lang w:val="en-GB"/>
        </w:rPr>
        <w:t>Summary</w:t>
      </w:r>
    </w:p>
    <w:p w:rsidR="481DA570" w:rsidP="521EDC7D" w:rsidRDefault="481DA570" w14:paraId="2BE8DA0F" w14:textId="3FB5AB44">
      <w:pPr>
        <w:spacing w:before="240" w:beforeAutospacing="off" w:after="240" w:afterAutospacing="off" w:line="259" w:lineRule="auto"/>
        <w:ind w:left="0" w:right="0"/>
        <w:jc w:val="left"/>
      </w:pPr>
      <w:r w:rsidRPr="521EDC7D" w:rsidR="481DA570">
        <w:rPr>
          <w:rFonts w:ascii="IBM Plex Sans" w:hAnsi="IBM Plex Sans" w:eastAsia="IBM Plex Sans" w:cs="IBM Plex Sans"/>
          <w:b w:val="0"/>
          <w:bCs w:val="0"/>
          <w:i w:val="0"/>
          <w:iCs w:val="0"/>
          <w:caps w:val="0"/>
          <w:smallCaps w:val="0"/>
          <w:noProof w:val="0"/>
          <w:color w:val="000000" w:themeColor="text1" w:themeTint="FF" w:themeShade="FF"/>
          <w:sz w:val="22"/>
          <w:szCs w:val="22"/>
          <w:lang w:val="en-GB"/>
        </w:rPr>
        <w:t xml:space="preserve">In this resource, you have learned that:  </w:t>
      </w:r>
      <w:r w:rsidRPr="521EDC7D" w:rsidR="481DA570">
        <w:rPr>
          <w:rFonts w:ascii="IBM Plex Sans" w:hAnsi="IBM Plex Sans" w:eastAsia="IBM Plex Sans" w:cs="IBM Plex Sans"/>
          <w:noProof w:val="0"/>
          <w:sz w:val="22"/>
          <w:szCs w:val="22"/>
          <w:lang w:val="en-GB"/>
        </w:rPr>
        <w:t xml:space="preserve"> </w:t>
      </w:r>
    </w:p>
    <w:p w:rsidR="481DA570" w:rsidP="521EDC7D" w:rsidRDefault="481DA570" w14:paraId="6E28FCD1" w14:textId="1F72B055">
      <w:pPr>
        <w:pStyle w:val="ListParagraph"/>
        <w:numPr>
          <w:ilvl w:val="0"/>
          <w:numId w:val="14"/>
        </w:numPr>
        <w:spacing w:before="0" w:beforeAutospacing="off" w:after="0" w:afterAutospacing="off"/>
        <w:rPr>
          <w:rFonts w:ascii="IBM Plex Sans" w:hAnsi="IBM Plex Sans" w:eastAsia="IBM Plex Sans" w:cs="IBM Plex Sans"/>
          <w:b w:val="0"/>
          <w:bCs w:val="0"/>
          <w:i w:val="0"/>
          <w:iCs w:val="0"/>
          <w:caps w:val="0"/>
          <w:smallCaps w:val="0"/>
          <w:noProof w:val="0"/>
          <w:color w:val="000000" w:themeColor="text1" w:themeTint="FF" w:themeShade="FF"/>
          <w:sz w:val="22"/>
          <w:szCs w:val="22"/>
          <w:lang w:val="en-GB"/>
        </w:rPr>
      </w:pPr>
      <w:r w:rsidRPr="521EDC7D" w:rsidR="481DA570">
        <w:rPr>
          <w:rFonts w:ascii="IBM Plex Sans" w:hAnsi="IBM Plex Sans" w:eastAsia="IBM Plex Sans" w:cs="IBM Plex Sans"/>
          <w:b w:val="0"/>
          <w:bCs w:val="0"/>
          <w:i w:val="0"/>
          <w:iCs w:val="0"/>
          <w:caps w:val="0"/>
          <w:smallCaps w:val="0"/>
          <w:noProof w:val="0"/>
          <w:color w:val="000000" w:themeColor="text1" w:themeTint="FF" w:themeShade="FF"/>
          <w:sz w:val="22"/>
          <w:szCs w:val="22"/>
          <w:lang w:val="en-GB"/>
        </w:rPr>
        <w:t>Scoring framework removes emotional bias from prioritization.</w:t>
      </w:r>
    </w:p>
    <w:p w:rsidR="481DA570" w:rsidP="521EDC7D" w:rsidRDefault="481DA570" w14:paraId="01895E70" w14:textId="570C8591">
      <w:pPr>
        <w:pStyle w:val="ListParagraph"/>
        <w:numPr>
          <w:ilvl w:val="0"/>
          <w:numId w:val="14"/>
        </w:numPr>
        <w:spacing w:before="0" w:beforeAutospacing="off" w:after="0" w:afterAutospacing="off"/>
        <w:rPr>
          <w:rFonts w:ascii="IBM Plex Sans" w:hAnsi="IBM Plex Sans" w:eastAsia="IBM Plex Sans" w:cs="IBM Plex Sans"/>
          <w:b w:val="0"/>
          <w:bCs w:val="0"/>
          <w:i w:val="0"/>
          <w:iCs w:val="0"/>
          <w:caps w:val="0"/>
          <w:smallCaps w:val="0"/>
          <w:noProof w:val="0"/>
          <w:color w:val="000000" w:themeColor="text1" w:themeTint="FF" w:themeShade="FF"/>
          <w:sz w:val="22"/>
          <w:szCs w:val="22"/>
          <w:lang w:val="en-GB"/>
        </w:rPr>
      </w:pPr>
      <w:r w:rsidRPr="521EDC7D" w:rsidR="481DA570">
        <w:rPr>
          <w:rFonts w:ascii="IBM Plex Sans" w:hAnsi="IBM Plex Sans" w:eastAsia="IBM Plex Sans" w:cs="IBM Plex Sans"/>
          <w:b w:val="0"/>
          <w:bCs w:val="0"/>
          <w:i w:val="0"/>
          <w:iCs w:val="0"/>
          <w:caps w:val="0"/>
          <w:smallCaps w:val="0"/>
          <w:noProof w:val="0"/>
          <w:color w:val="000000" w:themeColor="text1" w:themeTint="FF" w:themeShade="FF"/>
          <w:sz w:val="22"/>
          <w:szCs w:val="22"/>
          <w:lang w:val="en-GB"/>
        </w:rPr>
        <w:t>Categories carry different weights for evaluation accuracy.</w:t>
      </w:r>
    </w:p>
    <w:p w:rsidR="481DA570" w:rsidP="521EDC7D" w:rsidRDefault="481DA570" w14:paraId="78946AE8" w14:textId="37182E74">
      <w:pPr>
        <w:pStyle w:val="ListParagraph"/>
        <w:numPr>
          <w:ilvl w:val="0"/>
          <w:numId w:val="14"/>
        </w:numPr>
        <w:spacing w:before="0" w:beforeAutospacing="off" w:after="0" w:afterAutospacing="off"/>
        <w:rPr>
          <w:rFonts w:ascii="IBM Plex Sans" w:hAnsi="IBM Plex Sans" w:eastAsia="IBM Plex Sans" w:cs="IBM Plex Sans"/>
          <w:b w:val="0"/>
          <w:bCs w:val="0"/>
          <w:i w:val="0"/>
          <w:iCs w:val="0"/>
          <w:caps w:val="0"/>
          <w:smallCaps w:val="0"/>
          <w:noProof w:val="0"/>
          <w:color w:val="000000" w:themeColor="text1" w:themeTint="FF" w:themeShade="FF"/>
          <w:sz w:val="22"/>
          <w:szCs w:val="22"/>
          <w:lang w:val="en-GB"/>
        </w:rPr>
      </w:pPr>
      <w:r w:rsidRPr="521EDC7D" w:rsidR="481DA570">
        <w:rPr>
          <w:rFonts w:ascii="IBM Plex Sans" w:hAnsi="IBM Plex Sans" w:eastAsia="IBM Plex Sans" w:cs="IBM Plex Sans"/>
          <w:b w:val="0"/>
          <w:bCs w:val="0"/>
          <w:i w:val="0"/>
          <w:iCs w:val="0"/>
          <w:caps w:val="0"/>
          <w:smallCaps w:val="0"/>
          <w:noProof w:val="0"/>
          <w:color w:val="000000" w:themeColor="text1" w:themeTint="FF" w:themeShade="FF"/>
          <w:sz w:val="22"/>
          <w:szCs w:val="22"/>
          <w:lang w:val="en-GB"/>
        </w:rPr>
        <w:t>Buying triggers carry the highest scoring weight.</w:t>
      </w:r>
    </w:p>
    <w:p w:rsidR="481DA570" w:rsidP="521EDC7D" w:rsidRDefault="481DA570" w14:paraId="4F0FA31B" w14:textId="2F6A946C">
      <w:pPr>
        <w:pStyle w:val="ListParagraph"/>
        <w:numPr>
          <w:ilvl w:val="0"/>
          <w:numId w:val="14"/>
        </w:numPr>
        <w:spacing w:before="0" w:beforeAutospacing="off" w:after="0" w:afterAutospacing="off"/>
        <w:rPr>
          <w:rFonts w:ascii="IBM Plex Sans" w:hAnsi="IBM Plex Sans" w:eastAsia="IBM Plex Sans" w:cs="IBM Plex Sans"/>
          <w:b w:val="0"/>
          <w:bCs w:val="0"/>
          <w:i w:val="0"/>
          <w:iCs w:val="0"/>
          <w:caps w:val="0"/>
          <w:smallCaps w:val="0"/>
          <w:noProof w:val="0"/>
          <w:color w:val="000000" w:themeColor="text1" w:themeTint="FF" w:themeShade="FF"/>
          <w:sz w:val="22"/>
          <w:szCs w:val="22"/>
          <w:lang w:val="en-GB"/>
        </w:rPr>
      </w:pPr>
      <w:r w:rsidRPr="521EDC7D" w:rsidR="481DA570">
        <w:rPr>
          <w:rFonts w:ascii="IBM Plex Sans" w:hAnsi="IBM Plex Sans" w:eastAsia="IBM Plex Sans" w:cs="IBM Plex Sans"/>
          <w:b w:val="0"/>
          <w:bCs w:val="0"/>
          <w:i w:val="0"/>
          <w:iCs w:val="0"/>
          <w:caps w:val="0"/>
          <w:smallCaps w:val="0"/>
          <w:noProof w:val="0"/>
          <w:color w:val="000000" w:themeColor="text1" w:themeTint="FF" w:themeShade="FF"/>
          <w:sz w:val="22"/>
          <w:szCs w:val="22"/>
          <w:lang w:val="en-GB"/>
        </w:rPr>
        <w:t>Tier A accounts deserve deep, personalized research.</w:t>
      </w:r>
    </w:p>
    <w:p w:rsidR="481DA570" w:rsidP="521EDC7D" w:rsidRDefault="481DA570" w14:paraId="0D4C1512" w14:textId="7C452E68">
      <w:pPr>
        <w:pStyle w:val="ListParagraph"/>
        <w:numPr>
          <w:ilvl w:val="0"/>
          <w:numId w:val="14"/>
        </w:numPr>
        <w:spacing w:before="0" w:beforeAutospacing="off" w:after="0" w:afterAutospacing="off"/>
        <w:rPr>
          <w:rFonts w:ascii="IBM Plex Sans" w:hAnsi="IBM Plex Sans" w:eastAsia="IBM Plex Sans" w:cs="IBM Plex Sans"/>
          <w:b w:val="0"/>
          <w:bCs w:val="0"/>
          <w:i w:val="0"/>
          <w:iCs w:val="0"/>
          <w:caps w:val="0"/>
          <w:smallCaps w:val="0"/>
          <w:noProof w:val="0"/>
          <w:color w:val="000000" w:themeColor="text1" w:themeTint="FF" w:themeShade="FF"/>
          <w:sz w:val="22"/>
          <w:szCs w:val="22"/>
          <w:lang w:val="en-GB"/>
        </w:rPr>
      </w:pPr>
      <w:r w:rsidRPr="521EDC7D" w:rsidR="481DA570">
        <w:rPr>
          <w:rFonts w:ascii="IBM Plex Sans" w:hAnsi="IBM Plex Sans" w:eastAsia="IBM Plex Sans" w:cs="IBM Plex Sans"/>
          <w:b w:val="0"/>
          <w:bCs w:val="0"/>
          <w:i w:val="0"/>
          <w:iCs w:val="0"/>
          <w:caps w:val="0"/>
          <w:smallCaps w:val="0"/>
          <w:noProof w:val="0"/>
          <w:color w:val="000000" w:themeColor="text1" w:themeTint="FF" w:themeShade="FF"/>
          <w:sz w:val="22"/>
          <w:szCs w:val="22"/>
          <w:lang w:val="en-GB"/>
        </w:rPr>
        <w:t>Buying committee includes champion, economic, and technical buyers.</w:t>
      </w:r>
    </w:p>
    <w:p w:rsidR="521EDC7D" w:rsidP="521EDC7D" w:rsidRDefault="521EDC7D" w14:paraId="62BF0378" w14:textId="20297F17">
      <w:pPr>
        <w:rPr>
          <w:rFonts w:ascii="IBM Plex Sans" w:hAnsi="IBM Plex Sans"/>
          <w:lang w:val="en-GB"/>
        </w:rPr>
      </w:pPr>
    </w:p>
    <w:p w:rsidRPr="007822FA" w:rsidR="00AF7D53" w:rsidP="00390B7A" w:rsidRDefault="00AF7D53" w14:paraId="15575941" w14:textId="0AE04FFC">
      <w:pPr>
        <w:rPr>
          <w:rFonts w:ascii="IBM Plex Sans" w:hAnsi="IBM Plex Sans"/>
          <w:lang w:val="en-GB"/>
        </w:rPr>
      </w:pPr>
    </w:p>
    <w:sectPr w:rsidRPr="007822FA" w:rsidR="00AF7D53">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BM Plex Sans">
    <w:charset w:val="00"/>
    <w:family w:val="swiss"/>
    <w:pitch w:val="variable"/>
    <w:sig w:usb0="A00002EF" w:usb1="5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3">
    <w:nsid w:val="1c337a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1a95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A04496"/>
    <w:multiLevelType w:val="multilevel"/>
    <w:tmpl w:val="C5E0C0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641579"/>
    <w:multiLevelType w:val="multilevel"/>
    <w:tmpl w:val="EE6C51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F457090"/>
    <w:multiLevelType w:val="multilevel"/>
    <w:tmpl w:val="285A6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380141"/>
    <w:multiLevelType w:val="hybridMultilevel"/>
    <w:tmpl w:val="DE88B424"/>
    <w:lvl w:ilvl="0" w:tplc="08160001">
      <w:start w:val="1"/>
      <w:numFmt w:val="bullet"/>
      <w:lvlText w:val=""/>
      <w:lvlJc w:val="left"/>
      <w:pPr>
        <w:ind w:left="1068" w:hanging="360"/>
      </w:pPr>
      <w:rPr>
        <w:rFonts w:hint="default" w:ascii="Symbol" w:hAnsi="Symbol"/>
      </w:rPr>
    </w:lvl>
    <w:lvl w:ilvl="1" w:tplc="08160003">
      <w:start w:val="1"/>
      <w:numFmt w:val="bullet"/>
      <w:lvlText w:val="o"/>
      <w:lvlJc w:val="left"/>
      <w:pPr>
        <w:ind w:left="1788" w:hanging="360"/>
      </w:pPr>
      <w:rPr>
        <w:rFonts w:hint="default" w:ascii="Courier New" w:hAnsi="Courier New" w:cs="Courier New"/>
      </w:rPr>
    </w:lvl>
    <w:lvl w:ilvl="2" w:tplc="08160005" w:tentative="1">
      <w:start w:val="1"/>
      <w:numFmt w:val="bullet"/>
      <w:lvlText w:val=""/>
      <w:lvlJc w:val="left"/>
      <w:pPr>
        <w:ind w:left="2508" w:hanging="360"/>
      </w:pPr>
      <w:rPr>
        <w:rFonts w:hint="default" w:ascii="Wingdings" w:hAnsi="Wingdings"/>
      </w:rPr>
    </w:lvl>
    <w:lvl w:ilvl="3" w:tplc="08160001" w:tentative="1">
      <w:start w:val="1"/>
      <w:numFmt w:val="bullet"/>
      <w:lvlText w:val=""/>
      <w:lvlJc w:val="left"/>
      <w:pPr>
        <w:ind w:left="3228" w:hanging="360"/>
      </w:pPr>
      <w:rPr>
        <w:rFonts w:hint="default" w:ascii="Symbol" w:hAnsi="Symbol"/>
      </w:rPr>
    </w:lvl>
    <w:lvl w:ilvl="4" w:tplc="08160003" w:tentative="1">
      <w:start w:val="1"/>
      <w:numFmt w:val="bullet"/>
      <w:lvlText w:val="o"/>
      <w:lvlJc w:val="left"/>
      <w:pPr>
        <w:ind w:left="3948" w:hanging="360"/>
      </w:pPr>
      <w:rPr>
        <w:rFonts w:hint="default" w:ascii="Courier New" w:hAnsi="Courier New" w:cs="Courier New"/>
      </w:rPr>
    </w:lvl>
    <w:lvl w:ilvl="5" w:tplc="08160005" w:tentative="1">
      <w:start w:val="1"/>
      <w:numFmt w:val="bullet"/>
      <w:lvlText w:val=""/>
      <w:lvlJc w:val="left"/>
      <w:pPr>
        <w:ind w:left="4668" w:hanging="360"/>
      </w:pPr>
      <w:rPr>
        <w:rFonts w:hint="default" w:ascii="Wingdings" w:hAnsi="Wingdings"/>
      </w:rPr>
    </w:lvl>
    <w:lvl w:ilvl="6" w:tplc="08160001" w:tentative="1">
      <w:start w:val="1"/>
      <w:numFmt w:val="bullet"/>
      <w:lvlText w:val=""/>
      <w:lvlJc w:val="left"/>
      <w:pPr>
        <w:ind w:left="5388" w:hanging="360"/>
      </w:pPr>
      <w:rPr>
        <w:rFonts w:hint="default" w:ascii="Symbol" w:hAnsi="Symbol"/>
      </w:rPr>
    </w:lvl>
    <w:lvl w:ilvl="7" w:tplc="08160003" w:tentative="1">
      <w:start w:val="1"/>
      <w:numFmt w:val="bullet"/>
      <w:lvlText w:val="o"/>
      <w:lvlJc w:val="left"/>
      <w:pPr>
        <w:ind w:left="6108" w:hanging="360"/>
      </w:pPr>
      <w:rPr>
        <w:rFonts w:hint="default" w:ascii="Courier New" w:hAnsi="Courier New" w:cs="Courier New"/>
      </w:rPr>
    </w:lvl>
    <w:lvl w:ilvl="8" w:tplc="08160005" w:tentative="1">
      <w:start w:val="1"/>
      <w:numFmt w:val="bullet"/>
      <w:lvlText w:val=""/>
      <w:lvlJc w:val="left"/>
      <w:pPr>
        <w:ind w:left="6828" w:hanging="360"/>
      </w:pPr>
      <w:rPr>
        <w:rFonts w:hint="default" w:ascii="Wingdings" w:hAnsi="Wingdings"/>
      </w:rPr>
    </w:lvl>
  </w:abstractNum>
  <w:abstractNum w:abstractNumId="4" w15:restartNumberingAfterBreak="0">
    <w:nsid w:val="1EEB56A9"/>
    <w:multiLevelType w:val="multilevel"/>
    <w:tmpl w:val="BBFE91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1FB63A1"/>
    <w:multiLevelType w:val="multilevel"/>
    <w:tmpl w:val="DDE053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074040B"/>
    <w:multiLevelType w:val="multilevel"/>
    <w:tmpl w:val="874CD5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1B77838"/>
    <w:multiLevelType w:val="multilevel"/>
    <w:tmpl w:val="BD725A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64A5937"/>
    <w:multiLevelType w:val="multilevel"/>
    <w:tmpl w:val="A0821A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49D52226"/>
    <w:multiLevelType w:val="multilevel"/>
    <w:tmpl w:val="A732A8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582849F0"/>
    <w:multiLevelType w:val="multilevel"/>
    <w:tmpl w:val="68424B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78D26B31"/>
    <w:multiLevelType w:val="multilevel"/>
    <w:tmpl w:val="245C67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4">
    <w:abstractNumId w:val="13"/>
  </w:num>
  <w:num w:numId="13">
    <w:abstractNumId w:val="12"/>
  </w:num>
  <w:num w:numId="1" w16cid:durableId="2006661520">
    <w:abstractNumId w:val="2"/>
  </w:num>
  <w:num w:numId="2" w16cid:durableId="1929315294">
    <w:abstractNumId w:val="5"/>
  </w:num>
  <w:num w:numId="3" w16cid:durableId="439374237">
    <w:abstractNumId w:val="11"/>
  </w:num>
  <w:num w:numId="4" w16cid:durableId="2143233836">
    <w:abstractNumId w:val="8"/>
  </w:num>
  <w:num w:numId="5" w16cid:durableId="35669114">
    <w:abstractNumId w:val="6"/>
  </w:num>
  <w:num w:numId="6" w16cid:durableId="399714251">
    <w:abstractNumId w:val="7"/>
  </w:num>
  <w:num w:numId="7" w16cid:durableId="1158761818">
    <w:abstractNumId w:val="9"/>
  </w:num>
  <w:num w:numId="8" w16cid:durableId="2057581451">
    <w:abstractNumId w:val="3"/>
  </w:num>
  <w:num w:numId="9" w16cid:durableId="1414081223">
    <w:abstractNumId w:val="4"/>
  </w:num>
  <w:num w:numId="10" w16cid:durableId="1386872961">
    <w:abstractNumId w:val="10"/>
  </w:num>
  <w:num w:numId="11" w16cid:durableId="1742211158">
    <w:abstractNumId w:val="1"/>
  </w:num>
  <w:num w:numId="12" w16cid:durableId="770979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CBC"/>
    <w:rsid w:val="00067AB3"/>
    <w:rsid w:val="001A12C6"/>
    <w:rsid w:val="002D5EF6"/>
    <w:rsid w:val="00350873"/>
    <w:rsid w:val="00390B7A"/>
    <w:rsid w:val="00472876"/>
    <w:rsid w:val="00517AD4"/>
    <w:rsid w:val="005E752D"/>
    <w:rsid w:val="00633B9F"/>
    <w:rsid w:val="007822FA"/>
    <w:rsid w:val="007C0BE1"/>
    <w:rsid w:val="007F2DFD"/>
    <w:rsid w:val="00922CBC"/>
    <w:rsid w:val="009726F9"/>
    <w:rsid w:val="00AF7D53"/>
    <w:rsid w:val="00BB3BC2"/>
    <w:rsid w:val="00BD0599"/>
    <w:rsid w:val="00C86E62"/>
    <w:rsid w:val="00CD03CC"/>
    <w:rsid w:val="00CD7BCF"/>
    <w:rsid w:val="00DB7EC0"/>
    <w:rsid w:val="00E50729"/>
    <w:rsid w:val="026C789E"/>
    <w:rsid w:val="2248BAD1"/>
    <w:rsid w:val="375F3B00"/>
    <w:rsid w:val="3DF3C827"/>
    <w:rsid w:val="481DA570"/>
    <w:rsid w:val="4FF50290"/>
    <w:rsid w:val="521EDC7D"/>
    <w:rsid w:val="6435167C"/>
    <w:rsid w:val="6AF7B2F6"/>
    <w:rsid w:val="71913CA9"/>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57854"/>
  <w15:chartTrackingRefBased/>
  <w15:docId w15:val="{FAC3FDE7-3F60-4768-96E4-DE4678DE4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67AB3"/>
  </w:style>
  <w:style w:type="paragraph" w:styleId="Heading1">
    <w:name w:val="heading 1"/>
    <w:basedOn w:val="Normal"/>
    <w:next w:val="Normal"/>
    <w:link w:val="Heading1Char"/>
    <w:uiPriority w:val="9"/>
    <w:qFormat/>
    <w:rsid w:val="00922CB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2CB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2C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2C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2C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2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CB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22CB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22CB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22CB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22CB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22CB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22CB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22CB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22CB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22CBC"/>
    <w:rPr>
      <w:rFonts w:eastAsiaTheme="majorEastAsia" w:cstheme="majorBidi"/>
      <w:color w:val="272727" w:themeColor="text1" w:themeTint="D8"/>
    </w:rPr>
  </w:style>
  <w:style w:type="paragraph" w:styleId="Title">
    <w:name w:val="Title"/>
    <w:basedOn w:val="Normal"/>
    <w:next w:val="Normal"/>
    <w:link w:val="TitleChar"/>
    <w:uiPriority w:val="10"/>
    <w:qFormat/>
    <w:rsid w:val="00922CB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22CB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22CB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22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CBC"/>
    <w:pPr>
      <w:spacing w:before="160"/>
      <w:jc w:val="center"/>
    </w:pPr>
    <w:rPr>
      <w:i/>
      <w:iCs/>
      <w:color w:val="404040" w:themeColor="text1" w:themeTint="BF"/>
    </w:rPr>
  </w:style>
  <w:style w:type="character" w:styleId="QuoteChar" w:customStyle="1">
    <w:name w:val="Quote Char"/>
    <w:basedOn w:val="DefaultParagraphFont"/>
    <w:link w:val="Quote"/>
    <w:uiPriority w:val="29"/>
    <w:rsid w:val="00922CBC"/>
    <w:rPr>
      <w:i/>
      <w:iCs/>
      <w:color w:val="404040" w:themeColor="text1" w:themeTint="BF"/>
    </w:rPr>
  </w:style>
  <w:style w:type="paragraph" w:styleId="ListParagraph">
    <w:name w:val="List Paragraph"/>
    <w:basedOn w:val="Normal"/>
    <w:uiPriority w:val="34"/>
    <w:qFormat/>
    <w:rsid w:val="00922CBC"/>
    <w:pPr>
      <w:ind w:left="720"/>
      <w:contextualSpacing/>
    </w:pPr>
  </w:style>
  <w:style w:type="character" w:styleId="IntenseEmphasis">
    <w:name w:val="Intense Emphasis"/>
    <w:basedOn w:val="DefaultParagraphFont"/>
    <w:uiPriority w:val="21"/>
    <w:qFormat/>
    <w:rsid w:val="00922CBC"/>
    <w:rPr>
      <w:i/>
      <w:iCs/>
      <w:color w:val="0F4761" w:themeColor="accent1" w:themeShade="BF"/>
    </w:rPr>
  </w:style>
  <w:style w:type="paragraph" w:styleId="IntenseQuote">
    <w:name w:val="Intense Quote"/>
    <w:basedOn w:val="Normal"/>
    <w:next w:val="Normal"/>
    <w:link w:val="IntenseQuoteChar"/>
    <w:uiPriority w:val="30"/>
    <w:qFormat/>
    <w:rsid w:val="00922CB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22CBC"/>
    <w:rPr>
      <w:i/>
      <w:iCs/>
      <w:color w:val="0F4761" w:themeColor="accent1" w:themeShade="BF"/>
    </w:rPr>
  </w:style>
  <w:style w:type="character" w:styleId="IntenseReference">
    <w:name w:val="Intense Reference"/>
    <w:basedOn w:val="DefaultParagraphFont"/>
    <w:uiPriority w:val="32"/>
    <w:qFormat/>
    <w:rsid w:val="00922CBC"/>
    <w:rPr>
      <w:b/>
      <w:bCs/>
      <w:smallCaps/>
      <w:color w:val="0F4761" w:themeColor="accent1" w:themeShade="BF"/>
      <w:spacing w:val="5"/>
    </w:rPr>
  </w:style>
  <w:style w:type="paragraph" w:styleId="NormalWeb">
    <w:name w:val="Normal (Web)"/>
    <w:basedOn w:val="Normal"/>
    <w:uiPriority w:val="99"/>
    <w:semiHidden/>
    <w:unhideWhenUsed/>
    <w:rsid w:val="00517AD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E0125176A45754FB0996C1C75086554" ma:contentTypeVersion="19" ma:contentTypeDescription="Create a new document." ma:contentTypeScope="" ma:versionID="5336a7aad88d4fa118599994f44cfb52">
  <xsd:schema xmlns:xsd="http://www.w3.org/2001/XMLSchema" xmlns:xs="http://www.w3.org/2001/XMLSchema" xmlns:p="http://schemas.microsoft.com/office/2006/metadata/properties" xmlns:ns2="a3712f75-7b99-4ea1-a115-5410be941191" xmlns:ns3="3aa8797b-a9f0-456b-baa3-5d499e8d169d" targetNamespace="http://schemas.microsoft.com/office/2006/metadata/properties" ma:root="true" ma:fieldsID="05c60756e4c1ab69b3f0575f3a38b93a" ns2:_="" ns3:_="">
    <xsd:import namespace="a3712f75-7b99-4ea1-a115-5410be941191"/>
    <xsd:import namespace="3aa8797b-a9f0-456b-baa3-5d499e8d169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12f75-7b99-4ea1-a115-5410be9411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1ea842c-d6a4-43e2-8351-d20fabe133fa"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a8797b-a9f0-456b-baa3-5d499e8d169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b6bf7372-b96f-4d8f-ba07-70cf5bfdd859}" ma:internalName="TaxCatchAll" ma:showField="CatchAllData" ma:web="3aa8797b-a9f0-456b-baa3-5d499e8d16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aa8797b-a9f0-456b-baa3-5d499e8d169d" xsi:nil="true"/>
    <lcf76f155ced4ddcb4097134ff3c332f xmlns="a3712f75-7b99-4ea1-a115-5410be94119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D555483-0F4B-4D0B-9B1B-85AE53E83B5A}"/>
</file>

<file path=customXml/itemProps2.xml><?xml version="1.0" encoding="utf-8"?>
<ds:datastoreItem xmlns:ds="http://schemas.openxmlformats.org/officeDocument/2006/customXml" ds:itemID="{0D61021E-4742-4EC2-A790-DB9094F0AC9F}"/>
</file>

<file path=customXml/itemProps3.xml><?xml version="1.0" encoding="utf-8"?>
<ds:datastoreItem xmlns:ds="http://schemas.openxmlformats.org/officeDocument/2006/customXml" ds:itemID="{9B5B3033-9994-496E-A194-10B3DA6F76A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Rodrigo Seruya Cabral</dc:creator>
  <keywords/>
  <dc:description/>
  <lastModifiedBy>Hanoke</lastModifiedBy>
  <revision>18</revision>
  <dcterms:created xsi:type="dcterms:W3CDTF">2026-01-01T09:15:00.0000000Z</dcterms:created>
  <dcterms:modified xsi:type="dcterms:W3CDTF">2026-06-03T03:10:33.4237704Z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0x010100BE0125176A45754FB0996C1C75086554</vt:lpwstr>
  </property>
  <property fmtid="{D5CDD505-2E9C-101B-9397-08002B2CF9AE}" pid="3" name="MediaServiceImageTags">
    <vt:lpwstr/>
  </property>
</Properties>
</file>