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60"/>
      </w:pPr>
      <w:r>
        <w:rPr>
          <w:rFonts w:ascii="Arial" w:cs="Arial" w:eastAsia="Arial" w:hAnsi="Arial"/>
          <w:b/>
          <w:bCs/>
          <w:color w:val="1F3864"/>
          <w:sz w:val="56"/>
          <w:szCs w:val="56"/>
        </w:rPr>
        <w:t xml:space="preserve">DATA MIGRATION STRATEGY</w:t>
      </w:r>
    </w:p>
    <w:p>
      <w:pPr>
        <w:spacing w:before="0" w:after="60"/>
      </w:pPr>
      <w:r>
        <w:rPr>
          <w:rFonts w:ascii="Arial" w:cs="Arial" w:eastAsia="Arial" w:hAnsi="Arial"/>
          <w:color w:val="2E5FA3"/>
          <w:sz w:val="28"/>
          <w:szCs w:val="28"/>
        </w:rPr>
        <w:t xml:space="preserve">Core Digital Transformation for Retail Banking</w:t>
      </w:r>
    </w:p>
    <w:p>
      <w:pPr>
        <w:spacing w:before="0" w:after="240"/>
      </w:pPr>
      <w:r>
        <w:rPr>
          <w:rFonts w:ascii="Arial" w:cs="Arial" w:eastAsia="Arial" w:hAnsi="Arial"/>
          <w:i/>
          <w:iCs/>
          <w:color w:val="555555"/>
          <w:sz w:val="22"/>
          <w:szCs w:val="22"/>
        </w:rPr>
        <w:t xml:space="preserve">Legacy System Migration to Cloud-Native Microservices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Project</w:t>
            </w:r>
          </w:p>
        </w:tc>
        <w:tc>
          <w:tcPr>
            <w:tcW w:type="dxa" w:w="234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Prepared By</w:t>
            </w:r>
          </w:p>
        </w:tc>
        <w:tc>
          <w:tcPr>
            <w:tcW w:type="dxa" w:w="234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Version</w:t>
            </w:r>
          </w:p>
        </w:tc>
        <w:tc>
          <w:tcPr>
            <w:tcW w:type="dxa" w:w="234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Core Digital Transformation</w:t>
            </w:r>
          </w:p>
        </w:tc>
        <w:tc>
          <w:tcPr>
            <w:tcW w:type="dxa" w:w="234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 / Enterprise Architect</w:t>
            </w:r>
          </w:p>
        </w:tc>
        <w:tc>
          <w:tcPr>
            <w:tcW w:type="dxa" w:w="234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1.0 — Initial Release</w:t>
            </w:r>
          </w:p>
        </w:tc>
        <w:tc>
          <w:tcPr>
            <w:tcW w:type="dxa" w:w="234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February 18, 2026</w:t>
            </w:r>
          </w:p>
        </w:tc>
      </w:tr>
    </w:tbl>
    <w:p>
      <w:pPr>
        <w:spacing w:before="2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CONFIDENTIAL — FOR INTERNAL USE ONLY</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1. Executive Summary</w:t>
      </w:r>
    </w:p>
    <w:p>
      <w:pPr>
        <w:spacing w:before="60" w:after="60"/>
      </w:pPr>
      <w:r>
        <w:rPr>
          <w:rFonts w:ascii="Arial" w:cs="Arial" w:eastAsia="Arial" w:hAnsi="Arial"/>
          <w:color w:val="222222"/>
          <w:sz w:val="20"/>
          <w:szCs w:val="20"/>
        </w:rPr>
        <w:t xml:space="preserve">This Data Migration Strategy defines the end-to-end approach for migrating all critical banking data from legacy siloed systems to the new cloud-native, microservices-based Enterprise Data Warehouse (EDW) and operational databases. The migration covers four source systems — CRM, Loan Management, Core Banking, and Transaction Logs — and must be executed with zero data loss, full regulatory compliance (KYC, AML, PCI-DSS, GDPR), and minimal business disruption.</w:t>
      </w:r>
    </w:p>
    <w:p>
      <w:pPr>
        <w:spacing w:before="80" w:after="40"/>
      </w:pPr>
      <w:r>
        <w:t xml:space="preserve"/>
      </w:r>
    </w:p>
    <w:p>
      <w:pPr>
        <w:spacing w:before="60" w:after="60"/>
      </w:pPr>
      <w:r>
        <w:rPr>
          <w:rFonts w:ascii="Arial" w:cs="Arial" w:eastAsia="Arial" w:hAnsi="Arial"/>
          <w:color w:val="222222"/>
          <w:sz w:val="20"/>
          <w:szCs w:val="20"/>
        </w:rPr>
        <w:t xml:space="preserve">The strategy adopts a phased, parallel-run migration model with automated validation checkpoints, rollback capabilities at every phase, and full audit traceability from source to target. A Conditional Go/No-Go decision gate is embedded at each phase boundary before production cutover is authorized.</w:t>
      </w:r>
    </w:p>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2. Migration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800"/>
        <w:gridCol w:w="1200"/>
      </w:tblGrid>
      <w:tr>
        <w:tc>
          <w:tcPr>
            <w:tcW w:type="dxa" w:w="9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ID</w:t>
            </w:r>
          </w:p>
        </w:tc>
        <w:tc>
          <w:tcPr>
            <w:tcW w:type="dxa" w:w="54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Objective</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Domain</w:t>
            </w:r>
          </w:p>
        </w:tc>
        <w:tc>
          <w:tcPr>
            <w:tcW w:type="dxa" w:w="1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OBJ-01</w:t>
            </w:r>
          </w:p>
        </w:tc>
        <w:tc>
          <w:tcPr>
            <w:tcW w:type="dxa" w:w="5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Migrate 100% of customer, account, loan, and transaction records from legacy systems to the new EDW with zero data loss.</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Integrity</w:t>
            </w:r>
          </w:p>
        </w:tc>
        <w:tc>
          <w:tcPr>
            <w:tcW w:type="dxa" w:w="12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OBJ-02</w:t>
            </w:r>
          </w:p>
        </w:tc>
        <w:tc>
          <w:tcPr>
            <w:tcW w:type="dxa" w:w="5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Maintain full audit traceability — every record traceable from source system through staging to the target EDW.</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w:t>
            </w:r>
          </w:p>
        </w:tc>
        <w:tc>
          <w:tcPr>
            <w:tcW w:type="dxa" w:w="12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OBJ-03</w:t>
            </w:r>
          </w:p>
        </w:tc>
        <w:tc>
          <w:tcPr>
            <w:tcW w:type="dxa" w:w="5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Complete migration within the approved 12-week timeline with production cutover no later than Q3 2026.</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Schedule</w:t>
            </w:r>
          </w:p>
        </w:tc>
        <w:tc>
          <w:tcPr>
            <w:tcW w:type="dxa" w:w="12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OBJ-04</w:t>
            </w:r>
          </w:p>
        </w:tc>
        <w:tc>
          <w:tcPr>
            <w:tcW w:type="dxa" w:w="5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Ensure all migrated data satisfies KYC, AML, PCI-DSS, and GDPR regulatory controls before go-live sign-off.</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Regulatory</w:t>
            </w:r>
          </w:p>
        </w:tc>
        <w:tc>
          <w:tcPr>
            <w:tcW w:type="dxa" w:w="12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OBJ-05</w:t>
            </w:r>
          </w:p>
        </w:tc>
        <w:tc>
          <w:tcPr>
            <w:tcW w:type="dxa" w:w="5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Minimize production system downtime to approved maintenance windows only; target zero unplanned downtime.</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Operations</w:t>
            </w:r>
          </w:p>
        </w:tc>
        <w:tc>
          <w:tcPr>
            <w:tcW w:type="dxa" w:w="12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OBJ-06</w:t>
            </w:r>
          </w:p>
        </w:tc>
        <w:tc>
          <w:tcPr>
            <w:tcW w:type="dxa" w:w="5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Standardize data formats, customer IDs, and currency codes across all migrated datasets.</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Quality</w:t>
            </w:r>
          </w:p>
        </w:tc>
        <w:tc>
          <w:tcPr>
            <w:tcW w:type="dxa" w:w="12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OBJ-07</w:t>
            </w:r>
          </w:p>
        </w:tc>
        <w:tc>
          <w:tcPr>
            <w:tcW w:type="dxa" w:w="5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Implement automated rollback procedures at each migration phase, executable within 30 minutes of failure detection.</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Risk Management</w:t>
            </w:r>
          </w:p>
        </w:tc>
        <w:tc>
          <w:tcPr>
            <w:tcW w:type="dxa" w:w="12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3. Migration Scope</w:t>
      </w:r>
    </w:p>
    <w:p>
      <w:pPr>
        <w:spacing w:before="220" w:after="90"/>
      </w:pPr>
      <w:r>
        <w:rPr>
          <w:rFonts w:ascii="Arial" w:cs="Arial" w:eastAsia="Arial" w:hAnsi="Arial"/>
          <w:b/>
          <w:bCs/>
          <w:color w:val="2E5FA3"/>
          <w:sz w:val="24"/>
          <w:szCs w:val="24"/>
        </w:rPr>
        <w:t xml:space="preserve">3.1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Source System</w:t>
            </w:r>
          </w:p>
        </w:tc>
        <w:tc>
          <w:tcPr>
            <w:tcW w:type="dxa" w:w="45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Data Domain</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Estimated Volume</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CRM System</w:t>
            </w:r>
          </w:p>
        </w:tc>
        <w:tc>
          <w:tcPr>
            <w:tcW w:type="dxa" w:w="4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 profiles, KYC records, contact history, marketing preferences, and service interactions</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~2.4M customer records</w:t>
            </w:r>
          </w:p>
        </w:tc>
      </w:tr>
      <w:tr>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Management</w:t>
            </w:r>
          </w:p>
        </w:tc>
        <w:tc>
          <w:tcPr>
            <w:tcW w:type="dxa" w:w="4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applications, repayment schedules, delinquency records, interest rate history, and credit scoring data</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~850K loan records</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Core Banking System</w:t>
            </w:r>
          </w:p>
        </w:tc>
        <w:tc>
          <w:tcPr>
            <w:tcW w:type="dxa" w:w="4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Account balances, account lifecycle events, customer IDs, overdraft records, and product configurations</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~3.1M account records</w:t>
            </w:r>
          </w:p>
        </w:tc>
      </w:tr>
      <w:tr>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Logs</w:t>
            </w:r>
          </w:p>
        </w:tc>
        <w:tc>
          <w:tcPr>
            <w:tcW w:type="dxa" w:w="4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Card payments, ATM withdrawals, online transfers, direct debits, and historical fraud alert records</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~180M transaction rows</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Archives</w:t>
            </w:r>
          </w:p>
        </w:tc>
        <w:tc>
          <w:tcPr>
            <w:tcW w:type="dxa" w:w="4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AML audit trails, KYC event logs, GDPR data subject requests, and regulatory reporting history</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~12M audit log entries</w:t>
            </w:r>
          </w:p>
        </w:tc>
      </w:tr>
    </w:tbl>
    <w:p>
      <w:pPr>
        <w:spacing w:before="120" w:after="60"/>
      </w:pPr>
      <w:r>
        <w:t xml:space="preserve"/>
      </w:r>
    </w:p>
    <w:p>
      <w:pPr>
        <w:spacing w:before="220" w:after="90"/>
      </w:pPr>
      <w:r>
        <w:rPr>
          <w:rFonts w:ascii="Arial" w:cs="Arial" w:eastAsia="Arial" w:hAnsi="Arial"/>
          <w:b/>
          <w:bCs/>
          <w:color w:val="2E5FA3"/>
          <w:sz w:val="24"/>
          <w:szCs w:val="24"/>
        </w:rPr>
        <w:t xml:space="preserve">3.2 Out of Scope</w:t>
      </w:r>
    </w:p>
    <w:p>
      <w:pPr>
        <w:pStyle w:val="ListParagraph"/>
        <w:numPr>
          <w:ilvl w:val="0"/>
          <w:numId w:val="2"/>
        </w:numPr>
        <w:spacing w:before="30" w:after="30"/>
      </w:pPr>
      <w:r>
        <w:rPr>
          <w:rFonts w:ascii="Arial" w:cs="Arial" w:eastAsia="Arial" w:hAnsi="Arial"/>
          <w:b w:val="false"/>
          <w:bCs w:val="false"/>
          <w:color w:val="222222"/>
          <w:sz w:val="20"/>
          <w:szCs w:val="20"/>
        </w:rPr>
        <w:t xml:space="preserve">Mobile application data — addressed in a separate mobile workstream</w:t>
      </w:r>
    </w:p>
    <w:p>
      <w:pPr>
        <w:pStyle w:val="ListParagraph"/>
        <w:numPr>
          <w:ilvl w:val="0"/>
          <w:numId w:val="2"/>
        </w:numPr>
        <w:spacing w:before="30" w:after="30"/>
      </w:pPr>
      <w:r>
        <w:rPr>
          <w:rFonts w:ascii="Arial" w:cs="Arial" w:eastAsia="Arial" w:hAnsi="Arial"/>
          <w:b w:val="false"/>
          <w:bCs w:val="false"/>
          <w:color w:val="222222"/>
          <w:sz w:val="20"/>
          <w:szCs w:val="20"/>
        </w:rPr>
        <w:t xml:space="preserve">Third-party vendor proprietary data not owned by the bank</w:t>
      </w:r>
    </w:p>
    <w:p>
      <w:pPr>
        <w:pStyle w:val="ListParagraph"/>
        <w:numPr>
          <w:ilvl w:val="0"/>
          <w:numId w:val="2"/>
        </w:numPr>
        <w:spacing w:before="30" w:after="30"/>
      </w:pPr>
      <w:r>
        <w:rPr>
          <w:rFonts w:ascii="Arial" w:cs="Arial" w:eastAsia="Arial" w:hAnsi="Arial"/>
          <w:b w:val="false"/>
          <w:bCs w:val="false"/>
          <w:color w:val="222222"/>
          <w:sz w:val="20"/>
          <w:szCs w:val="20"/>
        </w:rPr>
        <w:t xml:space="preserve">International subsidiary systems — covered under a separate migration plan</w:t>
      </w:r>
    </w:p>
    <w:p>
      <w:pPr>
        <w:pStyle w:val="ListParagraph"/>
        <w:numPr>
          <w:ilvl w:val="0"/>
          <w:numId w:val="2"/>
        </w:numPr>
        <w:spacing w:before="30" w:after="30"/>
      </w:pPr>
      <w:r>
        <w:rPr>
          <w:rFonts w:ascii="Arial" w:cs="Arial" w:eastAsia="Arial" w:hAnsi="Arial"/>
          <w:b w:val="false"/>
          <w:bCs w:val="false"/>
          <w:color w:val="222222"/>
          <w:sz w:val="20"/>
          <w:szCs w:val="20"/>
        </w:rPr>
        <w:t xml:space="preserve">Physical branch infrastructure and ATM firmware data</w:t>
      </w:r>
    </w:p>
    <w:p>
      <w:pPr>
        <w:pStyle w:val="ListParagraph"/>
        <w:numPr>
          <w:ilvl w:val="0"/>
          <w:numId w:val="2"/>
        </w:numPr>
        <w:spacing w:before="30" w:after="30"/>
      </w:pPr>
      <w:r>
        <w:rPr>
          <w:rFonts w:ascii="Arial" w:cs="Arial" w:eastAsia="Arial" w:hAnsi="Arial"/>
          <w:b w:val="false"/>
          <w:bCs w:val="false"/>
          <w:color w:val="222222"/>
          <w:sz w:val="20"/>
          <w:szCs w:val="20"/>
        </w:rPr>
        <w:t xml:space="preserve">Email and document management systems (SharePoint, DMS)</w:t>
      </w:r>
    </w:p>
    <w:p>
      <w:pPr>
        <w:spacing w:before="80" w:after="80"/>
      </w:pPr>
      <w:r>
        <w:t xml:space="preserve"/>
      </w:r>
    </w:p>
    <w:p>
      <w:r>
        <w:br w:type="page"/>
      </w:r>
    </w:p>
    <w:p>
      <w:pPr>
        <w:pBdr>
          <w:bottom w:val="single" w:color="2E5FA3" w:sz="8" w:space="1"/>
        </w:pBdr>
        <w:spacing w:before="340" w:after="130"/>
      </w:pPr>
      <w:r>
        <w:rPr>
          <w:rFonts w:ascii="Arial" w:cs="Arial" w:eastAsia="Arial" w:hAnsi="Arial"/>
          <w:b/>
          <w:bCs/>
          <w:color w:val="1F3864"/>
          <w:sz w:val="32"/>
          <w:szCs w:val="32"/>
        </w:rPr>
        <w:t xml:space="preserve">4. Source System Assessment</w:t>
      </w:r>
    </w:p>
    <w:p>
      <w:pPr>
        <w:spacing w:before="60" w:after="60"/>
      </w:pPr>
      <w:r>
        <w:rPr>
          <w:rFonts w:ascii="Arial" w:cs="Arial" w:eastAsia="Arial" w:hAnsi="Arial"/>
          <w:color w:val="222222"/>
          <w:sz w:val="20"/>
          <w:szCs w:val="20"/>
        </w:rPr>
        <w:t xml:space="preserve">A comprehensive assessment of each legacy source system was conducted to identify data quality issues, structural inconsistencies, and compliance gaps prior to migration planning. Key findings are summarised below.</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160"/>
        <w:gridCol w:w="1800"/>
      </w:tblGrid>
      <w:tr>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Source System</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Technology</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Key Issues Identified</w:t>
            </w:r>
          </w:p>
        </w:tc>
        <w:tc>
          <w:tcPr>
            <w:tcW w:type="dxa" w:w="21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Data Quality Risk</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Remediation Required</w:t>
            </w:r>
          </w:p>
        </w:tc>
      </w:tr>
      <w:tr>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CRM</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Oracle DB 11g</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Duplicate customer IDs; inconsistent phone number formats; 8% null KYC fields</w:t>
            </w:r>
          </w:p>
        </w:tc>
        <w:tc>
          <w:tcPr>
            <w:tcW w:type="dxa" w:w="216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Deduplication; KYC field enrichment; ID standardisation</w:t>
            </w:r>
          </w:p>
        </w:tc>
      </w:tr>
      <w:tr>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Management</w:t>
            </w:r>
          </w:p>
        </w:tc>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IBM DB2 v10</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Interest rate precision mismatch; loan_type enum inconsistency; 2.3% orphaned loan records</w:t>
            </w:r>
          </w:p>
        </w:tc>
        <w:tc>
          <w:tcPr>
            <w:tcW w:type="dxa" w:w="2160"/>
            <w:tcBorders>
              <w:top w:val="single" w:color="AAAAAA" w:sz="1"/>
              <w:left w:val="single" w:color="AAAAAA" w:sz="1"/>
              <w:bottom w:val="single" w:color="AAAAAA" w:sz="1"/>
              <w:right w:val="single" w:color="AAAAAA" w:sz="1"/>
            </w:tcBorders>
            <w:shd w:fill="7D5A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Enum normalisation; orphan record resolution; precision conversion</w:t>
            </w:r>
          </w:p>
        </w:tc>
      </w:tr>
      <w:tr>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Core Banking</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Temenos T24</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Multi-currency accounts with incorrect base currency flags; closed accounts still marked active</w:t>
            </w:r>
          </w:p>
        </w:tc>
        <w:tc>
          <w:tcPr>
            <w:tcW w:type="dxa" w:w="216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Currency code standardisation; account status reconciliation</w:t>
            </w:r>
          </w:p>
        </w:tc>
      </w:tr>
      <w:tr>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Logs</w:t>
            </w:r>
          </w:p>
        </w:tc>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MS SQL Server 2014</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Missing reference_no on 0.4% of records; timestamp timezone inconsistency (UTC vs local)</w:t>
            </w:r>
          </w:p>
        </w:tc>
        <w:tc>
          <w:tcPr>
            <w:tcW w:type="dxa" w:w="2160"/>
            <w:tcBorders>
              <w:top w:val="single" w:color="AAAAAA" w:sz="1"/>
              <w:left w:val="single" w:color="AAAAAA" w:sz="1"/>
              <w:bottom w:val="single" w:color="AAAAAA" w:sz="1"/>
              <w:right w:val="single" w:color="AAAAAA" w:sz="1"/>
            </w:tcBorders>
            <w:shd w:fill="7D5A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Reference number generation; timezone normalisation to UTC</w:t>
            </w:r>
          </w:p>
        </w:tc>
      </w:tr>
      <w:tr>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Archives</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Flat files / CSV</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Unstructured format; no primary keys; AML flags not machine-readable</w:t>
            </w:r>
          </w:p>
        </w:tc>
        <w:tc>
          <w:tcPr>
            <w:tcW w:type="dxa" w:w="216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Schema imposition; primary key generation; AML flag parsing</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5. Migration Approach &amp; Strategy</w:t>
      </w:r>
    </w:p>
    <w:p>
      <w:pPr>
        <w:spacing w:before="220" w:after="90"/>
      </w:pPr>
      <w:r>
        <w:rPr>
          <w:rFonts w:ascii="Arial" w:cs="Arial" w:eastAsia="Arial" w:hAnsi="Arial"/>
          <w:b/>
          <w:bCs/>
          <w:color w:val="2E5FA3"/>
          <w:sz w:val="24"/>
          <w:szCs w:val="24"/>
        </w:rPr>
        <w:t xml:space="preserve">5.1 Overall Strategy: Phased Parallel-Run Migration</w:t>
      </w:r>
    </w:p>
    <w:p>
      <w:pPr>
        <w:spacing w:before="60" w:after="60"/>
      </w:pPr>
      <w:r>
        <w:rPr>
          <w:rFonts w:ascii="Arial" w:cs="Arial" w:eastAsia="Arial" w:hAnsi="Arial"/>
          <w:color w:val="222222"/>
          <w:sz w:val="20"/>
          <w:szCs w:val="20"/>
        </w:rPr>
        <w:t xml:space="preserve">The migration follows a phased parallel-run model. Legacy source systems remain fully operational throughout all migration phases. Migrated data in the new EDW is validated in parallel against live source system data before any cutover is authorized. This eliminates risk of data loss and provides a clear rollback path at every stage.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20"/>
              <w:left w:type="dxa" w:w="200"/>
              <w:bottom w:type="dxa" w:w="120"/>
              <w:right w:type="dxa" w:w="200"/>
            </w:tcMar>
          </w:tcPr>
          <w:p>
            <w:r>
              <w:rPr>
                <w:rFonts w:ascii="Arial" w:cs="Arial" w:eastAsia="Arial" w:hAnsi="Arial"/>
                <w:b/>
                <w:bCs/>
                <w:color w:val="1F3864"/>
                <w:sz w:val="22"/>
                <w:szCs w:val="22"/>
              </w:rPr>
              <w:t xml:space="preserve">Migration Flow:</w:t>
            </w:r>
          </w:p>
          <w:p>
            <w:pPr>
              <w:spacing w:before="80"/>
            </w:pPr>
            <w:r>
              <w:rPr>
                <w:rFonts w:ascii="Arial" w:cs="Arial" w:eastAsia="Arial" w:hAnsi="Arial"/>
                <w:color w:val="222222"/>
                <w:sz w:val="20"/>
                <w:szCs w:val="20"/>
              </w:rPr>
              <w:t xml:space="preserve">Legacy Source Systems  →  ETL Extract  →  Staging Area  →  Data Validation  →  Transform &amp; Cleanse  →  Load to EDW  →  Parallel Validation  →  Go/No-Go Gate  →  Production Cutover</w:t>
            </w:r>
          </w:p>
          <w:p>
            <w:pPr>
              <w:spacing w:before="60"/>
            </w:pPr>
            <w:r>
              <w:rPr>
                <w:rFonts w:ascii="Arial" w:cs="Arial" w:eastAsia="Arial" w:hAnsi="Arial"/>
                <w:i/>
                <w:iCs/>
                <w:color w:val="8B0000"/>
                <w:sz w:val="18"/>
                <w:szCs w:val="18"/>
              </w:rPr>
              <w:t xml:space="preserve">Rollback available at every arrow. Legacy systems remain live until final cutover is signed off.</w:t>
            </w:r>
          </w:p>
        </w:tc>
      </w:tr>
    </w:tbl>
    <w:p>
      <w:pPr>
        <w:spacing w:before="120" w:after="60"/>
      </w:pPr>
      <w:r>
        <w:t xml:space="preserve"/>
      </w:r>
    </w:p>
    <w:p>
      <w:pPr>
        <w:spacing w:before="220" w:after="90"/>
      </w:pPr>
      <w:r>
        <w:rPr>
          <w:rFonts w:ascii="Arial" w:cs="Arial" w:eastAsia="Arial" w:hAnsi="Arial"/>
          <w:b/>
          <w:bCs/>
          <w:color w:val="2E5FA3"/>
          <w:sz w:val="24"/>
          <w:szCs w:val="24"/>
        </w:rPr>
        <w:t xml:space="preserve">5.2 ETL Pipeline Architecture</w:t>
      </w:r>
    </w:p>
    <w:p>
      <w:pPr>
        <w:pStyle w:val="ListParagraph"/>
        <w:numPr>
          <w:ilvl w:val="0"/>
          <w:numId w:val="2"/>
        </w:numPr>
        <w:spacing w:before="30" w:after="30"/>
      </w:pPr>
      <w:r>
        <w:rPr>
          <w:rFonts w:ascii="Arial" w:cs="Arial" w:eastAsia="Arial" w:hAnsi="Arial"/>
          <w:b/>
          <w:bCs/>
          <w:color w:val="222222"/>
          <w:sz w:val="20"/>
          <w:szCs w:val="20"/>
        </w:rPr>
        <w:t xml:space="preserve">Extract: Incremental extraction via Change Data Capture (CDC) for real-time systems; full-load extraction for compliance archives</w:t>
      </w:r>
    </w:p>
    <w:p>
      <w:pPr>
        <w:pStyle w:val="ListParagraph"/>
        <w:numPr>
          <w:ilvl w:val="0"/>
          <w:numId w:val="3"/>
        </w:numPr>
        <w:spacing w:before="20" w:after="20"/>
      </w:pPr>
      <w:r>
        <w:rPr>
          <w:rFonts w:ascii="Arial" w:cs="Arial" w:eastAsia="Arial" w:hAnsi="Arial"/>
          <w:color w:val="444444"/>
          <w:sz w:val="19"/>
          <w:szCs w:val="19"/>
        </w:rPr>
        <w:t xml:space="preserve">CRM and Core Banking: CDC using Debezium connector over JDBC</w:t>
      </w:r>
    </w:p>
    <w:p>
      <w:pPr>
        <w:pStyle w:val="ListParagraph"/>
        <w:numPr>
          <w:ilvl w:val="0"/>
          <w:numId w:val="3"/>
        </w:numPr>
        <w:spacing w:before="20" w:after="20"/>
      </w:pPr>
      <w:r>
        <w:rPr>
          <w:rFonts w:ascii="Arial" w:cs="Arial" w:eastAsia="Arial" w:hAnsi="Arial"/>
          <w:color w:val="444444"/>
          <w:sz w:val="19"/>
          <w:szCs w:val="19"/>
        </w:rPr>
        <w:t xml:space="preserve">Transaction Logs: Bulk export via SQL Server BCP then CDC for deltas</w:t>
      </w:r>
    </w:p>
    <w:p>
      <w:pPr>
        <w:pStyle w:val="ListParagraph"/>
        <w:numPr>
          <w:ilvl w:val="0"/>
          <w:numId w:val="3"/>
        </w:numPr>
        <w:spacing w:before="20" w:after="20"/>
      </w:pPr>
      <w:r>
        <w:rPr>
          <w:rFonts w:ascii="Arial" w:cs="Arial" w:eastAsia="Arial" w:hAnsi="Arial"/>
          <w:color w:val="444444"/>
          <w:sz w:val="19"/>
          <w:szCs w:val="19"/>
        </w:rPr>
        <w:t xml:space="preserve">Compliance Archives: Batch ingestion via Apache NiFi with schema mapping</w:t>
      </w:r>
    </w:p>
    <w:p>
      <w:pPr>
        <w:pStyle w:val="ListParagraph"/>
        <w:numPr>
          <w:ilvl w:val="0"/>
          <w:numId w:val="2"/>
        </w:numPr>
        <w:spacing w:before="30" w:after="30"/>
      </w:pPr>
      <w:r>
        <w:rPr>
          <w:rFonts w:ascii="Arial" w:cs="Arial" w:eastAsia="Arial" w:hAnsi="Arial"/>
          <w:b/>
          <w:bCs/>
          <w:color w:val="222222"/>
          <w:sz w:val="20"/>
          <w:szCs w:val="20"/>
        </w:rPr>
        <w:t xml:space="preserve">Transform: Apache Spark jobs executed on IBM Cloud Pak for Data</w:t>
      </w:r>
    </w:p>
    <w:p>
      <w:pPr>
        <w:pStyle w:val="ListParagraph"/>
        <w:numPr>
          <w:ilvl w:val="0"/>
          <w:numId w:val="3"/>
        </w:numPr>
        <w:spacing w:before="20" w:after="20"/>
      </w:pPr>
      <w:r>
        <w:rPr>
          <w:rFonts w:ascii="Arial" w:cs="Arial" w:eastAsia="Arial" w:hAnsi="Arial"/>
          <w:color w:val="444444"/>
          <w:sz w:val="19"/>
          <w:szCs w:val="19"/>
        </w:rPr>
        <w:t xml:space="preserve">Customer ID standardisation across all source systems</w:t>
      </w:r>
    </w:p>
    <w:p>
      <w:pPr>
        <w:pStyle w:val="ListParagraph"/>
        <w:numPr>
          <w:ilvl w:val="0"/>
          <w:numId w:val="3"/>
        </w:numPr>
        <w:spacing w:before="20" w:after="20"/>
      </w:pPr>
      <w:r>
        <w:rPr>
          <w:rFonts w:ascii="Arial" w:cs="Arial" w:eastAsia="Arial" w:hAnsi="Arial"/>
          <w:color w:val="444444"/>
          <w:sz w:val="19"/>
          <w:szCs w:val="19"/>
        </w:rPr>
        <w:t xml:space="preserve">Date/time normalisation to ISO 8601 UTC format</w:t>
      </w:r>
    </w:p>
    <w:p>
      <w:pPr>
        <w:pStyle w:val="ListParagraph"/>
        <w:numPr>
          <w:ilvl w:val="0"/>
          <w:numId w:val="3"/>
        </w:numPr>
        <w:spacing w:before="20" w:after="20"/>
      </w:pPr>
      <w:r>
        <w:rPr>
          <w:rFonts w:ascii="Arial" w:cs="Arial" w:eastAsia="Arial" w:hAnsi="Arial"/>
          <w:color w:val="444444"/>
          <w:sz w:val="19"/>
          <w:szCs w:val="19"/>
        </w:rPr>
        <w:t xml:space="preserve">Currency code standardisation to ISO 4217</w:t>
      </w:r>
    </w:p>
    <w:p>
      <w:pPr>
        <w:pStyle w:val="ListParagraph"/>
        <w:numPr>
          <w:ilvl w:val="0"/>
          <w:numId w:val="3"/>
        </w:numPr>
        <w:spacing w:before="20" w:after="20"/>
      </w:pPr>
      <w:r>
        <w:rPr>
          <w:rFonts w:ascii="Arial" w:cs="Arial" w:eastAsia="Arial" w:hAnsi="Arial"/>
          <w:color w:val="444444"/>
          <w:sz w:val="19"/>
          <w:szCs w:val="19"/>
        </w:rPr>
        <w:t xml:space="preserve">PII masking for non-production environments (GDPR compliance)</w:t>
      </w:r>
    </w:p>
    <w:p>
      <w:pPr>
        <w:pStyle w:val="ListParagraph"/>
        <w:numPr>
          <w:ilvl w:val="0"/>
          <w:numId w:val="3"/>
        </w:numPr>
        <w:spacing w:before="20" w:after="20"/>
      </w:pPr>
      <w:r>
        <w:rPr>
          <w:rFonts w:ascii="Arial" w:cs="Arial" w:eastAsia="Arial" w:hAnsi="Arial"/>
          <w:color w:val="444444"/>
          <w:sz w:val="19"/>
          <w:szCs w:val="19"/>
        </w:rPr>
        <w:t xml:space="preserve">Duplicate detection and resolution using deterministic matching rules</w:t>
      </w:r>
    </w:p>
    <w:p>
      <w:pPr>
        <w:pStyle w:val="ListParagraph"/>
        <w:numPr>
          <w:ilvl w:val="0"/>
          <w:numId w:val="2"/>
        </w:numPr>
        <w:spacing w:before="30" w:after="30"/>
      </w:pPr>
      <w:r>
        <w:rPr>
          <w:rFonts w:ascii="Arial" w:cs="Arial" w:eastAsia="Arial" w:hAnsi="Arial"/>
          <w:b/>
          <w:bCs/>
          <w:color w:val="222222"/>
          <w:sz w:val="20"/>
          <w:szCs w:val="20"/>
        </w:rPr>
        <w:t xml:space="preserve">Load: Incremental upsert to PostgreSQL EDW using Apache Kafka + Kafka Connect sink</w:t>
      </w:r>
    </w:p>
    <w:p>
      <w:pPr>
        <w:pStyle w:val="ListParagraph"/>
        <w:numPr>
          <w:ilvl w:val="0"/>
          <w:numId w:val="3"/>
        </w:numPr>
        <w:spacing w:before="20" w:after="20"/>
      </w:pPr>
      <w:r>
        <w:rPr>
          <w:rFonts w:ascii="Arial" w:cs="Arial" w:eastAsia="Arial" w:hAnsi="Arial"/>
          <w:color w:val="444444"/>
          <w:sz w:val="19"/>
          <w:szCs w:val="19"/>
        </w:rPr>
        <w:t xml:space="preserve">Upsert logic: INSERT on new records, UPDATE on changed records (keyed on UUID)</w:t>
      </w:r>
    </w:p>
    <w:p>
      <w:pPr>
        <w:pStyle w:val="ListParagraph"/>
        <w:numPr>
          <w:ilvl w:val="0"/>
          <w:numId w:val="3"/>
        </w:numPr>
        <w:spacing w:before="20" w:after="20"/>
      </w:pPr>
      <w:r>
        <w:rPr>
          <w:rFonts w:ascii="Arial" w:cs="Arial" w:eastAsia="Arial" w:hAnsi="Arial"/>
          <w:color w:val="444444"/>
          <w:sz w:val="19"/>
          <w:szCs w:val="19"/>
        </w:rPr>
        <w:t xml:space="preserve">Data partitioned by date for query performance and archival management</w:t>
      </w:r>
    </w:p>
    <w:p>
      <w:pPr>
        <w:pStyle w:val="ListParagraph"/>
        <w:numPr>
          <w:ilvl w:val="0"/>
          <w:numId w:val="3"/>
        </w:numPr>
        <w:spacing w:before="20" w:after="20"/>
      </w:pPr>
      <w:r>
        <w:rPr>
          <w:rFonts w:ascii="Arial" w:cs="Arial" w:eastAsia="Arial" w:hAnsi="Arial"/>
          <w:color w:val="444444"/>
          <w:sz w:val="19"/>
          <w:szCs w:val="19"/>
        </w:rPr>
        <w:t xml:space="preserve">Post-load record count and hash validation before phase sign-off</w:t>
      </w:r>
    </w:p>
    <w:p>
      <w:pPr>
        <w:spacing w:before="120" w:after="60"/>
      </w:pPr>
      <w:r>
        <w:t xml:space="preserve"/>
      </w:r>
    </w:p>
    <w:p>
      <w:pPr>
        <w:spacing w:before="220" w:after="90"/>
      </w:pPr>
      <w:r>
        <w:rPr>
          <w:rFonts w:ascii="Arial" w:cs="Arial" w:eastAsia="Arial" w:hAnsi="Arial"/>
          <w:b/>
          <w:bCs/>
          <w:color w:val="2E5FA3"/>
          <w:sz w:val="24"/>
          <w:szCs w:val="24"/>
        </w:rPr>
        <w:t xml:space="preserve">5.3 Data Extraction Methods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000"/>
        <w:gridCol w:w="1700"/>
        <w:gridCol w:w="1560"/>
      </w:tblGrid>
      <w:tr>
        <w:tc>
          <w:tcPr>
            <w:tcW w:type="dxa" w:w="19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Source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Extraction Method</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Tool</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Frequency</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Encryption</w:t>
            </w:r>
          </w:p>
        </w:tc>
      </w:tr>
      <w:tr>
        <w:tc>
          <w:tcPr>
            <w:tcW w:type="dxa" w:w="1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CRM</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CDC via Debezium JDBC</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Debezium + Kafka</w:t>
            </w:r>
          </w:p>
        </w:tc>
        <w:tc>
          <w:tcPr>
            <w:tcW w:type="dxa" w:w="17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Real-time stream</w:t>
            </w:r>
          </w:p>
        </w:tc>
        <w:tc>
          <w:tcPr>
            <w:tcW w:type="dxa" w:w="1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 in transit</w:t>
            </w:r>
          </w:p>
        </w:tc>
      </w:tr>
      <w:tr>
        <w:tc>
          <w:tcPr>
            <w:tcW w:type="dxa" w:w="19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Management</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Full load + CDC delta</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Apache NiFi</w:t>
            </w:r>
          </w:p>
        </w:tc>
        <w:tc>
          <w:tcPr>
            <w:tcW w:type="dxa" w:w="17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Daily batch + live CDC</w:t>
            </w:r>
          </w:p>
        </w:tc>
        <w:tc>
          <w:tcPr>
            <w:tcW w:type="dxa" w:w="1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 in transit</w:t>
            </w:r>
          </w:p>
        </w:tc>
      </w:tr>
      <w:tr>
        <w:tc>
          <w:tcPr>
            <w:tcW w:type="dxa" w:w="1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Core Banking</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CDC via Debezium JDBC</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Debezium + Kafka</w:t>
            </w:r>
          </w:p>
        </w:tc>
        <w:tc>
          <w:tcPr>
            <w:tcW w:type="dxa" w:w="17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Real-time stream</w:t>
            </w:r>
          </w:p>
        </w:tc>
        <w:tc>
          <w:tcPr>
            <w:tcW w:type="dxa" w:w="1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 in transit</w:t>
            </w:r>
          </w:p>
        </w:tc>
      </w:tr>
      <w:tr>
        <w:tc>
          <w:tcPr>
            <w:tcW w:type="dxa" w:w="19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Logs</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BCP bulk export + CDC</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SQL BCP + Kafka Connect</w:t>
            </w:r>
          </w:p>
        </w:tc>
        <w:tc>
          <w:tcPr>
            <w:tcW w:type="dxa" w:w="17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Hourly batch + live CDC</w:t>
            </w:r>
          </w:p>
        </w:tc>
        <w:tc>
          <w:tcPr>
            <w:tcW w:type="dxa" w:w="1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 in transit</w:t>
            </w:r>
          </w:p>
        </w:tc>
      </w:tr>
      <w:tr>
        <w:tc>
          <w:tcPr>
            <w:tcW w:type="dxa" w:w="19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Archives</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Batch CSV ingestion</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Apache NiFi + Spark</w:t>
            </w:r>
          </w:p>
        </w:tc>
        <w:tc>
          <w:tcPr>
            <w:tcW w:type="dxa" w:w="17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One-time full load</w:t>
            </w:r>
          </w:p>
        </w:tc>
        <w:tc>
          <w:tcPr>
            <w:tcW w:type="dxa" w:w="1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AES-256 at rest</w:t>
            </w:r>
          </w:p>
        </w:tc>
      </w:tr>
    </w:tbl>
    <w:p>
      <w:pPr>
        <w:spacing w:before="80" w:after="80"/>
      </w:pPr>
      <w:r>
        <w:t xml:space="preserve"/>
      </w:r>
    </w:p>
    <w:p>
      <w:r>
        <w:br w:type="page"/>
      </w:r>
    </w:p>
    <w:p>
      <w:pPr>
        <w:pBdr>
          <w:bottom w:val="single" w:color="2E5FA3" w:sz="8" w:space="1"/>
        </w:pBdr>
        <w:spacing w:before="340" w:after="130"/>
      </w:pPr>
      <w:r>
        <w:rPr>
          <w:rFonts w:ascii="Arial" w:cs="Arial" w:eastAsia="Arial" w:hAnsi="Arial"/>
          <w:b/>
          <w:bCs/>
          <w:color w:val="1F3864"/>
          <w:sz w:val="32"/>
          <w:szCs w:val="32"/>
        </w:rPr>
        <w:t xml:space="preserve">6. Migration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60"/>
        <w:gridCol w:w="1500"/>
        <w:gridCol w:w="1500"/>
      </w:tblGrid>
      <w:tr>
        <w:tc>
          <w:tcPr>
            <w:tcW w:type="dxa" w:w="15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Phase</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Name</w:t>
            </w:r>
          </w:p>
        </w:tc>
        <w:tc>
          <w:tcPr>
            <w:tcW w:type="dxa" w:w="24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Activities</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Duration</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Owner</w:t>
            </w:r>
          </w:p>
        </w:tc>
      </w:tr>
      <w:tr>
        <w:tc>
          <w:tcPr>
            <w:tcW w:type="dxa" w:w="1500"/>
            <w:tcBorders>
              <w:top w:val="single" w:color="AAAAAA" w:sz="1"/>
              <w:left w:val="single" w:color="AAAAAA" w:sz="1"/>
              <w:bottom w:val="single" w:color="AAAAAA" w:sz="1"/>
              <w:right w:val="single" w:color="AAAAAA" w:sz="1"/>
            </w:tcBorders>
            <w:shd w:fill="1F3864"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0</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Preparation &amp; Environment Setup</w:t>
            </w:r>
          </w:p>
        </w:tc>
        <w:tc>
          <w:tcPr>
            <w:tcW w:type="dxa" w:w="2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Provision cloud infrastructure; configure ETL tools; establish connectivity to source systems; baseline data profiling</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1–2</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r>
      <w:tr>
        <w:tc>
          <w:tcPr>
            <w:tcW w:type="dxa" w:w="15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1</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Archives Migration</w:t>
            </w:r>
          </w:p>
        </w:tc>
        <w:tc>
          <w:tcPr>
            <w:tcW w:type="dxa" w:w="2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Ingest and parse flat-file compliance archives; impose schema; generate PKs; validate AML flag integrity; load to EDW compliance_logs table</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3–4</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r>
      <w:tr>
        <w:tc>
          <w:tcPr>
            <w:tcW w:type="dxa" w:w="1500"/>
            <w:tcBorders>
              <w:top w:val="single" w:color="AAAAAA" w:sz="1"/>
              <w:left w:val="single" w:color="AAAAAA" w:sz="1"/>
              <w:bottom w:val="single" w:color="AAAAAA" w:sz="1"/>
              <w:right w:val="single" w:color="AAAAAA" w:sz="1"/>
            </w:tcBorders>
            <w:shd w:fill="2E5FA3"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2</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 &amp; Account Migration</w:t>
            </w:r>
          </w:p>
        </w:tc>
        <w:tc>
          <w:tcPr>
            <w:tcW w:type="dxa" w:w="2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Extract CRM and Core Banking data; deduplicate customers; standardise IDs; run KYC validation; load customers and accounts tables; parallel run validation</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5–7</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r>
      <w:tr>
        <w:tc>
          <w:tcPr>
            <w:tcW w:type="dxa" w:w="15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3</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Portfolio Migration</w:t>
            </w:r>
          </w:p>
        </w:tc>
        <w:tc>
          <w:tcPr>
            <w:tcW w:type="dxa" w:w="2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Extract Loan Management data; resolve orphan records; normalise loan_type enums; credit score mapping; load loans and credit_scores tables</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7–8</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r>
      <w:tr>
        <w:tc>
          <w:tcPr>
            <w:tcW w:type="dxa" w:w="1500"/>
            <w:tcBorders>
              <w:top w:val="single" w:color="AAAAAA" w:sz="1"/>
              <w:left w:val="single" w:color="AAAAAA" w:sz="1"/>
              <w:bottom w:val="single" w:color="AAAAAA" w:sz="1"/>
              <w:right w:val="single" w:color="AAAAAA" w:sz="1"/>
            </w:tcBorders>
            <w:shd w:fill="5B2C6F"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4</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History Migration</w:t>
            </w:r>
          </w:p>
        </w:tc>
        <w:tc>
          <w:tcPr>
            <w:tcW w:type="dxa" w:w="2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Bulk export + CDC for transaction logs; UTC timezone normalisation; reference number generation for gaps; load transactions table; integrity hash check</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8–10</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r>
      <w:tr>
        <w:tc>
          <w:tcPr>
            <w:tcW w:type="dxa" w:w="1500"/>
            <w:tcBorders>
              <w:top w:val="single" w:color="AAAAAA" w:sz="1"/>
              <w:left w:val="single" w:color="AAAAAA" w:sz="1"/>
              <w:bottom w:val="single" w:color="AAAAAA" w:sz="1"/>
              <w:right w:val="single" w:color="AAAAAA" w:sz="1"/>
            </w:tcBorders>
            <w:shd w:fill="0A6464"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5</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Parallel Run &amp; UAT Validation</w:t>
            </w:r>
          </w:p>
        </w:tc>
        <w:tc>
          <w:tcPr>
            <w:tcW w:type="dxa" w:w="24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Run legacy and new systems in parallel; reconcile record counts and checksums; perform UAT with business units; regulatory compliance sign-off from CCO</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Weeks 10–11</w:t>
            </w:r>
          </w:p>
        </w:tc>
        <w:tc>
          <w:tcPr>
            <w:tcW w:type="dxa" w:w="15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Business Analyst / CCO</w:t>
            </w:r>
          </w:p>
        </w:tc>
      </w:tr>
      <w:tr>
        <w:tc>
          <w:tcPr>
            <w:tcW w:type="dxa" w:w="15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Phase 6</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Production Cutover &amp; Decommission</w:t>
            </w:r>
          </w:p>
        </w:tc>
        <w:tc>
          <w:tcPr>
            <w:tcW w:type="dxa" w:w="24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Final Go/No-Go gate; switch traffic to new platform; monitor for 72 hours; legacy systems placed in read-only archive mode; decommission scheduled</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Week 12</w:t>
            </w:r>
          </w:p>
        </w:tc>
        <w:tc>
          <w:tcPr>
            <w:tcW w:type="dxa" w:w="15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CIO / Enterprise Architect</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7. Data Validation &amp; Quality Framework</w:t>
      </w:r>
    </w:p>
    <w:p>
      <w:pPr>
        <w:spacing w:before="220" w:after="90"/>
      </w:pPr>
      <w:r>
        <w:rPr>
          <w:rFonts w:ascii="Arial" w:cs="Arial" w:eastAsia="Arial" w:hAnsi="Arial"/>
          <w:b/>
          <w:bCs/>
          <w:color w:val="2E5FA3"/>
          <w:sz w:val="24"/>
          <w:szCs w:val="24"/>
        </w:rPr>
        <w:t xml:space="preserve">7.1 Validation Checkpoints</w:t>
      </w:r>
    </w:p>
    <w:p>
      <w:pPr>
        <w:spacing w:before="60" w:after="60"/>
      </w:pPr>
      <w:r>
        <w:rPr>
          <w:rFonts w:ascii="Arial" w:cs="Arial" w:eastAsia="Arial" w:hAnsi="Arial"/>
          <w:color w:val="222222"/>
          <w:sz w:val="20"/>
          <w:szCs w:val="20"/>
        </w:rPr>
        <w:t xml:space="preserve">Automated validation is executed at three points in the ETL pipeline: post-extraction, post-transformation, and post-load. All validation results are logged with timestamps, record counts, and failure details for audit purposes.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1000"/>
        <w:gridCol w:w="1000"/>
      </w:tblGrid>
      <w:tr>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Checkpoint</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Stage</w:t>
            </w:r>
          </w:p>
        </w:tc>
        <w:tc>
          <w:tcPr>
            <w:tcW w:type="dxa" w:w="33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Validation Rules Applied</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Pass Threshold</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On Fail</w:t>
            </w:r>
          </w:p>
        </w:tc>
      </w:tr>
      <w:tr>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VAL-01</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Post-Extraction</w:t>
            </w:r>
          </w:p>
        </w:tc>
        <w:tc>
          <w:tcPr>
            <w:tcW w:type="dxa" w:w="3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Record count vs source; null check on mandatory fields; referential integrity; duplicate primary key detection</w:t>
            </w:r>
          </w:p>
        </w:tc>
        <w:tc>
          <w:tcPr>
            <w:tcW w:type="dxa" w:w="1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100%</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HALT</w:t>
            </w:r>
          </w:p>
        </w:tc>
      </w:tr>
      <w:tr>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VAL-02</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Post-Transformation</w:t>
            </w:r>
          </w:p>
        </w:tc>
        <w:tc>
          <w:tcPr>
            <w:tcW w:type="dxa" w:w="3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 ID uniqueness; date format ISO 8601; currency code ISO 4217; KYC status enum valid; PII masking applied in non-prod</w:t>
            </w:r>
          </w:p>
        </w:tc>
        <w:tc>
          <w:tcPr>
            <w:tcW w:type="dxa" w:w="1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99.9%</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REVIEW</w:t>
            </w:r>
          </w:p>
        </w:tc>
      </w:tr>
      <w:tr>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VAL-03</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Post-Load (EDW)</w:t>
            </w:r>
          </w:p>
        </w:tc>
        <w:tc>
          <w:tcPr>
            <w:tcW w:type="dxa" w:w="3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Record count reconciliation source vs EDW; MD5 hash comparison on key fields; foreign key integrity; compliance field completeness</w:t>
            </w:r>
          </w:p>
        </w:tc>
        <w:tc>
          <w:tcPr>
            <w:tcW w:type="dxa" w:w="1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100%</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ROLLBACK</w:t>
            </w:r>
          </w:p>
        </w:tc>
      </w:tr>
      <w:tr>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VAL-04</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Parallel Run</w:t>
            </w:r>
          </w:p>
        </w:tc>
        <w:tc>
          <w:tcPr>
            <w:tcW w:type="dxa" w:w="3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Business logic reconciliation: account balances match, loan status consistent, transaction totals agree within 0.01% tolerance</w:t>
            </w:r>
          </w:p>
        </w:tc>
        <w:tc>
          <w:tcPr>
            <w:tcW w:type="dxa" w:w="1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99.99%</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NO-GO</w:t>
            </w:r>
          </w:p>
        </w:tc>
      </w:tr>
    </w:tbl>
    <w:p>
      <w:pPr>
        <w:spacing w:before="120" w:after="60"/>
      </w:pPr>
      <w:r>
        <w:t xml:space="preserve"/>
      </w:r>
    </w:p>
    <w:p>
      <w:pPr>
        <w:spacing w:before="220" w:after="90"/>
      </w:pPr>
      <w:r>
        <w:rPr>
          <w:rFonts w:ascii="Arial" w:cs="Arial" w:eastAsia="Arial" w:hAnsi="Arial"/>
          <w:b/>
          <w:bCs/>
          <w:color w:val="2E5FA3"/>
          <w:sz w:val="24"/>
          <w:szCs w:val="24"/>
        </w:rPr>
        <w:t xml:space="preserve">7.2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Rule ID</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Rule Name</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Description</w:t>
            </w:r>
          </w:p>
        </w:tc>
        <w:tc>
          <w:tcPr>
            <w:tcW w:type="dxa" w:w="23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Applies To</w:t>
            </w:r>
          </w:p>
        </w:tc>
      </w:tr>
      <w:tr>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DQ-01</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Completeness Check</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mandatory fields (PK, NOT NULL constraints) must have values. Zero null tolerance on critical fields.</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tables</w:t>
            </w:r>
          </w:p>
        </w:tc>
      </w:tr>
      <w:tr>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DQ-02</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Uniqueness Check</w:t>
            </w:r>
          </w:p>
        </w:tc>
        <w:tc>
          <w:tcPr>
            <w:tcW w:type="dxa" w:w="3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No duplicate primary keys. Customer email must be unique across the customer table.</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customers, accounts</w:t>
            </w:r>
          </w:p>
        </w:tc>
      </w:tr>
      <w:tr>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DQ-03</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Referential Integrity</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foreign keys must resolve to existing parent records. Orphan records flagged and quarantined.</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accounts, loans, transactions</w:t>
            </w:r>
          </w:p>
        </w:tc>
      </w:tr>
      <w:tr>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DQ-04</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Format Standardisation</w:t>
            </w:r>
          </w:p>
        </w:tc>
        <w:tc>
          <w:tcPr>
            <w:tcW w:type="dxa" w:w="3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Dates in ISO 8601; currency in ISO 4217; phone numbers in E.164 format; UUIDs in RFC 4122.</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tables</w:t>
            </w:r>
          </w:p>
        </w:tc>
      </w:tr>
      <w:tr>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DQ-05</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Business Rule Validation</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 principal &gt; 0; account balance &gt;= 0 for savings; KYC status in allowed enum values.</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loans, accounts</w:t>
            </w:r>
          </w:p>
        </w:tc>
      </w:tr>
      <w:tr>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DQ-06</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PII Compliance</w:t>
            </w:r>
          </w:p>
        </w:tc>
        <w:tc>
          <w:tcPr>
            <w:tcW w:type="dxa" w:w="3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PII fields (name, DOB, email, phone) masked in non-production environments per GDPR Article 25.</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customers</w:t>
            </w:r>
          </w:p>
        </w:tc>
      </w:tr>
      <w:tr>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DQ-07</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AML Flag Integrity</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compliance log entries with severity=CRITICAL must have a non-null event_type and entity_id.</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compliance_logs</w:t>
            </w:r>
          </w:p>
        </w:tc>
      </w:tr>
    </w:tbl>
    <w:p>
      <w:pPr>
        <w:spacing w:before="80" w:after="80"/>
      </w:pPr>
      <w:r>
        <w:t xml:space="preserve"/>
      </w:r>
    </w:p>
    <w:p>
      <w:r>
        <w:br w:type="page"/>
      </w:r>
    </w:p>
    <w:p>
      <w:pPr>
        <w:pBdr>
          <w:bottom w:val="single" w:color="2E5FA3" w:sz="8" w:space="1"/>
        </w:pBdr>
        <w:spacing w:before="340" w:after="130"/>
      </w:pPr>
      <w:r>
        <w:rPr>
          <w:rFonts w:ascii="Arial" w:cs="Arial" w:eastAsia="Arial" w:hAnsi="Arial"/>
          <w:b/>
          <w:bCs/>
          <w:color w:val="1F3864"/>
          <w:sz w:val="32"/>
          <w:szCs w:val="32"/>
        </w:rPr>
        <w:t xml:space="preserve">8. Security &amp; Regulatory Compliance</w:t>
      </w:r>
    </w:p>
    <w:p>
      <w:pPr>
        <w:spacing w:before="220" w:after="90"/>
      </w:pPr>
      <w:r>
        <w:rPr>
          <w:rFonts w:ascii="Arial" w:cs="Arial" w:eastAsia="Arial" w:hAnsi="Arial"/>
          <w:b/>
          <w:bCs/>
          <w:color w:val="2E5FA3"/>
          <w:sz w:val="24"/>
          <w:szCs w:val="24"/>
        </w:rPr>
        <w:t xml:space="preserve">8.1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Control</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Standard</w:t>
            </w:r>
          </w:p>
        </w:tc>
        <w:tc>
          <w:tcPr>
            <w:tcW w:type="dxa" w:w="35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Application</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Encryption in Transit</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w:t>
            </w:r>
          </w:p>
        </w:tc>
        <w:tc>
          <w:tcPr>
            <w:tcW w:type="dxa" w:w="3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data flows between source systems, ETL pipeline, Kafka, and the target EDW are encrypted with TLS 1.3</w:t>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Encryption at Rest</w:t>
            </w:r>
          </w:p>
        </w:tc>
        <w:tc>
          <w:tcPr>
            <w:tcW w:type="dxa" w:w="3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AES-256</w:t>
            </w:r>
          </w:p>
        </w:tc>
        <w:tc>
          <w:tcPr>
            <w:tcW w:type="dxa" w:w="3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Staging Area, Enterprise Data Warehouse, and archive storage encrypted at rest using AES-256 with bank-managed keys</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Key Management</w:t>
            </w:r>
          </w:p>
        </w:tc>
        <w:tc>
          <w:tcPr>
            <w:tcW w:type="dxa" w:w="3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IBM Secrets Manager / AWS KMS</w:t>
            </w:r>
          </w:p>
        </w:tc>
        <w:tc>
          <w:tcPr>
            <w:tcW w:type="dxa" w:w="3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encryption keys managed by centralised key management service. No keys hardcoded in ETL scripts or configuration files</w:t>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Masking</w:t>
            </w:r>
          </w:p>
        </w:tc>
        <w:tc>
          <w:tcPr>
            <w:tcW w:type="dxa" w:w="3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Tokenisation + Redaction</w:t>
            </w:r>
          </w:p>
        </w:tc>
        <w:tc>
          <w:tcPr>
            <w:tcW w:type="dxa" w:w="3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PII fields tokenised in non-production environments. Cardholder data isolated in PCI-DSS compliant zone with field-level redaction for non-payment systems</w:t>
            </w:r>
          </w:p>
        </w:tc>
      </w:tr>
    </w:tbl>
    <w:p>
      <w:pPr>
        <w:spacing w:before="120" w:after="60"/>
      </w:pPr>
      <w:r>
        <w:t xml:space="preserve"/>
      </w:r>
    </w:p>
    <w:p>
      <w:pPr>
        <w:spacing w:before="220" w:after="90"/>
      </w:pPr>
      <w:r>
        <w:rPr>
          <w:rFonts w:ascii="Arial" w:cs="Arial" w:eastAsia="Arial" w:hAnsi="Arial"/>
          <w:b/>
          <w:bCs/>
          <w:color w:val="2E5FA3"/>
          <w:sz w:val="24"/>
          <w:szCs w:val="24"/>
        </w:rPr>
        <w:t xml:space="preserve">8.2 Regulatory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360"/>
        <w:gridCol w:w="2000"/>
      </w:tblGrid>
      <w:tr>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Regulation</w:t>
            </w:r>
          </w:p>
        </w:tc>
        <w:tc>
          <w:tcPr>
            <w:tcW w:type="dxa" w:w="26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Requirement</w:t>
            </w:r>
          </w:p>
        </w:tc>
        <w:tc>
          <w:tcPr>
            <w:tcW w:type="dxa" w:w="33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Migration Control</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Owner</w:t>
            </w:r>
          </w:p>
        </w:tc>
      </w:tr>
      <w:tr>
        <w:tc>
          <w:tcPr>
            <w:tcW w:type="dxa" w:w="1400"/>
            <w:tcBorders>
              <w:top w:val="single" w:color="AAAAAA" w:sz="1"/>
              <w:left w:val="single" w:color="AAAAAA" w:sz="1"/>
              <w:bottom w:val="single" w:color="AAAAAA" w:sz="1"/>
              <w:right w:val="single" w:color="AAAAAA" w:sz="1"/>
            </w:tcBorders>
            <w:shd w:fill="1F3864"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KYC</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 identity verified before account activation</w:t>
            </w:r>
          </w:p>
        </w:tc>
        <w:tc>
          <w:tcPr>
            <w:tcW w:type="dxa" w:w="3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KYC status field migrated with full history; verification timestamps preserved; rejected records quarantined for review</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Officer</w:t>
            </w:r>
          </w:p>
        </w:tc>
      </w:tr>
      <w:tr>
        <w:tc>
          <w:tcPr>
            <w:tcW w:type="dxa" w:w="14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AML</w:t>
            </w:r>
          </w:p>
        </w:tc>
        <w:tc>
          <w:tcPr>
            <w:tcW w:type="dxa" w:w="2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monitoring logs retained and auditable</w:t>
            </w:r>
          </w:p>
        </w:tc>
        <w:tc>
          <w:tcPr>
            <w:tcW w:type="dxa" w:w="3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compliance_log entries migrated with severity ratings intact; AML flags preserved as machine-readable enum values</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Officer</w:t>
            </w:r>
          </w:p>
        </w:tc>
      </w:tr>
      <w:tr>
        <w:tc>
          <w:tcPr>
            <w:tcW w:type="dxa" w:w="14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PCI-DSS</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Cardholder data isolated; access restricted</w:t>
            </w:r>
          </w:p>
        </w:tc>
        <w:tc>
          <w:tcPr>
            <w:tcW w:type="dxa" w:w="3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Payment card data migrated to isolated PCI-DSS zone; RBAC enforced; no cardholder data in general-purpose tables</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CISO</w:t>
            </w:r>
          </w:p>
        </w:tc>
      </w:tr>
      <w:tr>
        <w:tc>
          <w:tcPr>
            <w:tcW w:type="dxa" w:w="1400"/>
            <w:tcBorders>
              <w:top w:val="single" w:color="AAAAAA" w:sz="1"/>
              <w:left w:val="single" w:color="AAAAAA" w:sz="1"/>
              <w:bottom w:val="single" w:color="AAAAAA" w:sz="1"/>
              <w:right w:val="single" w:color="AAAAAA" w:sz="1"/>
            </w:tcBorders>
            <w:shd w:fill="5B2C6F"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GDPR</w:t>
            </w:r>
          </w:p>
        </w:tc>
        <w:tc>
          <w:tcPr>
            <w:tcW w:type="dxa" w:w="2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PII handled lawfully; right to erasure supported</w:t>
            </w:r>
          </w:p>
        </w:tc>
        <w:tc>
          <w:tcPr>
            <w:tcW w:type="dxa" w:w="3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PII fields tagged in EDW schema; data subject access requests (DSAR) supported via customer_id lookup; deletion workflows tested pre-cutover</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CCO / DPO</w:t>
            </w:r>
          </w:p>
        </w:tc>
      </w:tr>
    </w:tbl>
    <w:p>
      <w:pPr>
        <w:spacing w:before="120" w:after="60"/>
      </w:pPr>
      <w:r>
        <w:t xml:space="preserve"/>
      </w:r>
    </w:p>
    <w:p>
      <w:pPr>
        <w:spacing w:before="220" w:after="90"/>
      </w:pPr>
      <w:r>
        <w:rPr>
          <w:rFonts w:ascii="Arial" w:cs="Arial" w:eastAsia="Arial" w:hAnsi="Arial"/>
          <w:b/>
          <w:bCs/>
          <w:color w:val="2E5FA3"/>
          <w:sz w:val="24"/>
          <w:szCs w:val="24"/>
        </w:rPr>
        <w:t xml:space="preserve">8.3 Access Controls During Migration</w:t>
      </w:r>
    </w:p>
    <w:p>
      <w:pPr>
        <w:pStyle w:val="ListParagraph"/>
        <w:numPr>
          <w:ilvl w:val="0"/>
          <w:numId w:val="2"/>
        </w:numPr>
        <w:spacing w:before="30" w:after="30"/>
      </w:pPr>
      <w:r>
        <w:rPr>
          <w:rFonts w:ascii="Arial" w:cs="Arial" w:eastAsia="Arial" w:hAnsi="Arial"/>
          <w:b w:val="false"/>
          <w:bCs w:val="false"/>
          <w:color w:val="222222"/>
          <w:sz w:val="20"/>
          <w:szCs w:val="20"/>
        </w:rPr>
        <w:t xml:space="preserve">All ETL service accounts operate with least-privilege permissions scoped to specific source tables and target schemas</w:t>
      </w:r>
    </w:p>
    <w:p>
      <w:pPr>
        <w:pStyle w:val="ListParagraph"/>
        <w:numPr>
          <w:ilvl w:val="0"/>
          <w:numId w:val="2"/>
        </w:numPr>
        <w:spacing w:before="30" w:after="30"/>
      </w:pPr>
      <w:r>
        <w:rPr>
          <w:rFonts w:ascii="Arial" w:cs="Arial" w:eastAsia="Arial" w:hAnsi="Arial"/>
          <w:b w:val="false"/>
          <w:bCs w:val="false"/>
          <w:color w:val="222222"/>
          <w:sz w:val="20"/>
          <w:szCs w:val="20"/>
        </w:rPr>
        <w:t xml:space="preserve">Migration environment access logged in compliance_logs with user ID, timestamp, and action performed</w:t>
      </w:r>
    </w:p>
    <w:p>
      <w:pPr>
        <w:pStyle w:val="ListParagraph"/>
        <w:numPr>
          <w:ilvl w:val="0"/>
          <w:numId w:val="2"/>
        </w:numPr>
        <w:spacing w:before="30" w:after="30"/>
      </w:pPr>
      <w:r>
        <w:rPr>
          <w:rFonts w:ascii="Arial" w:cs="Arial" w:eastAsia="Arial" w:hAnsi="Arial"/>
          <w:b w:val="false"/>
          <w:bCs w:val="false"/>
          <w:color w:val="222222"/>
          <w:sz w:val="20"/>
          <w:szCs w:val="20"/>
        </w:rPr>
        <w:t xml:space="preserve">Production source systems accessible only via read-only migration service accounts during extraction</w:t>
      </w:r>
    </w:p>
    <w:p>
      <w:pPr>
        <w:pStyle w:val="ListParagraph"/>
        <w:numPr>
          <w:ilvl w:val="0"/>
          <w:numId w:val="2"/>
        </w:numPr>
        <w:spacing w:before="30" w:after="30"/>
      </w:pPr>
      <w:r>
        <w:rPr>
          <w:rFonts w:ascii="Arial" w:cs="Arial" w:eastAsia="Arial" w:hAnsi="Arial"/>
          <w:b w:val="false"/>
          <w:bCs w:val="false"/>
          <w:color w:val="222222"/>
          <w:sz w:val="20"/>
          <w:szCs w:val="20"/>
        </w:rPr>
        <w:t xml:space="preserve">Multi-factor authentication (MFA) enforced for all engineers accessing the migration environment</w:t>
      </w:r>
    </w:p>
    <w:p>
      <w:pPr>
        <w:pStyle w:val="ListParagraph"/>
        <w:numPr>
          <w:ilvl w:val="0"/>
          <w:numId w:val="2"/>
        </w:numPr>
        <w:spacing w:before="30" w:after="30"/>
      </w:pPr>
      <w:r>
        <w:rPr>
          <w:rFonts w:ascii="Arial" w:cs="Arial" w:eastAsia="Arial" w:hAnsi="Arial"/>
          <w:b w:val="false"/>
          <w:bCs w:val="false"/>
          <w:color w:val="222222"/>
          <w:sz w:val="20"/>
          <w:szCs w:val="20"/>
        </w:rPr>
        <w:t xml:space="preserve">Privileged access reviews conducted daily during active migration phases by the CISO</w:t>
      </w:r>
    </w:p>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9. Rollback Strategy</w:t>
      </w:r>
    </w:p>
    <w:p>
      <w:pPr>
        <w:spacing w:before="60" w:after="60"/>
      </w:pPr>
      <w:r>
        <w:rPr>
          <w:rFonts w:ascii="Arial" w:cs="Arial" w:eastAsia="Arial" w:hAnsi="Arial"/>
          <w:color w:val="222222"/>
          <w:sz w:val="20"/>
          <w:szCs w:val="20"/>
        </w:rPr>
        <w:t xml:space="preserve">A structured rollback plan is maintained at each migration phase. Rollback can be initiated within 30 minutes of failure detection. Legacy source systems are kept in a fully operational state until the final production cutover is signed off by the CIO.</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60"/>
        <w:gridCol w:w="1800"/>
        <w:gridCol w:w="1600"/>
      </w:tblGrid>
      <w:tr>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Phase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Rollback Trigger</w:t>
            </w:r>
          </w:p>
        </w:tc>
        <w:tc>
          <w:tcPr>
            <w:tcW w:type="dxa" w:w="23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Rollback Action</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Time to Execute</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Decision Authority</w:t>
            </w:r>
          </w:p>
        </w:tc>
      </w:tr>
      <w:tr>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 0</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Infrastructure provisioning failure</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Deprovision cloud resources; revert to pre-migration state</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15 minutes</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r>
      <w:tr>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 1</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archive load failure or AML flag corruption detected</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Truncate compliance_logs staging table; re-run full ingestion from source archives</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&lt; 30 minutes</w:t>
            </w:r>
          </w:p>
        </w:tc>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r>
      <w:tr>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Phases 2–4</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Record count mismatch &gt; 0.1%; referential integrity failure; UAT rejection</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Restore EDW tables from pre-phase snapshot; notify stakeholders; root cause analysis before re-attempt</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30 minutes</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 + CCO</w:t>
            </w:r>
          </w:p>
        </w:tc>
      </w:tr>
      <w:tr>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 5</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Parallel run reconciliation fails; business unit UAT sign-off withheld</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Extend parallel run period; reprocess affected data segments; escalate to CIO</w:t>
            </w:r>
          </w:p>
        </w:tc>
        <w:tc>
          <w:tcPr>
            <w:tcW w:type="dxa" w:w="1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&lt; 2 hours</w:t>
            </w:r>
          </w:p>
        </w:tc>
        <w:tc>
          <w:tcPr>
            <w:tcW w:type="dxa" w:w="1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CIO</w:t>
            </w:r>
          </w:p>
        </w:tc>
      </w:tr>
      <w:tr>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 6 (Cutover)</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Post-cutover production incident; P1 data integrity failure</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Switch DNS/load balancer back to legacy systems; new platform placed in maintenance mode; full incident investigation</w:t>
            </w:r>
          </w:p>
        </w:tc>
        <w:tc>
          <w:tcPr>
            <w:tcW w:type="dxa" w:w="1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15 minutes</w:t>
            </w:r>
          </w:p>
        </w:tc>
        <w:tc>
          <w:tcPr>
            <w:tcW w:type="dxa" w:w="1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CIO + CEO</w:t>
            </w:r>
          </w:p>
        </w:tc>
      </w:tr>
    </w:tbl>
    <w:p>
      <w:pPr>
        <w:spacing w:before="80" w:after="80"/>
      </w:pPr>
      <w:r>
        <w:t xml:space="preserve"/>
      </w:r>
    </w:p>
    <w:p>
      <w:r>
        <w:br w:type="page"/>
      </w:r>
    </w:p>
    <w:p>
      <w:pPr>
        <w:pBdr>
          <w:bottom w:val="single" w:color="2E5FA3" w:sz="8" w:space="1"/>
        </w:pBdr>
        <w:spacing w:before="340" w:after="130"/>
      </w:pPr>
      <w:r>
        <w:rPr>
          <w:rFonts w:ascii="Arial" w:cs="Arial" w:eastAsia="Arial" w:hAnsi="Arial"/>
          <w:b/>
          <w:bCs/>
          <w:color w:val="1F3864"/>
          <w:sz w:val="32"/>
          <w:szCs w:val="32"/>
        </w:rPr>
        <w:t xml:space="preserve">10. Migration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1000"/>
        <w:gridCol w:w="2560"/>
        <w:gridCol w:w="1400"/>
      </w:tblGrid>
      <w:tr>
        <w:tc>
          <w:tcPr>
            <w:tcW w:type="dxa" w:w="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ID</w:t>
            </w:r>
          </w:p>
        </w:tc>
        <w:tc>
          <w:tcPr>
            <w:tcW w:type="dxa" w:w="26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Risk Description</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Probability</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Impact</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Mitigation Strategy</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Owner</w:t>
            </w:r>
          </w:p>
        </w:tc>
      </w:tr>
      <w:tr>
        <w:tc>
          <w:tcPr>
            <w:tcW w:type="dxa" w:w="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R-01</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loss during bulk extraction from legacy systems due to network timeout or source system failure</w:t>
            </w:r>
          </w:p>
        </w:tc>
        <w:tc>
          <w:tcPr>
            <w:tcW w:type="dxa" w:w="10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LOW</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c>
          <w:tcPr>
            <w:tcW w:type="dxa" w:w="2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Incremental CDC with offset tracking; automated retry with exponential backoff; extraction checkpoints every 100K records</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 Lead</w:t>
            </w:r>
          </w:p>
        </w:tc>
      </w:tr>
      <w:tr>
        <w:tc>
          <w:tcPr>
            <w:tcW w:type="dxa" w:w="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R-02</w:t>
            </w:r>
          </w:p>
        </w:tc>
        <w:tc>
          <w:tcPr>
            <w:tcW w:type="dxa" w:w="2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Referential integrity violations — orphaned records in loan or transaction tables after migration</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2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Pre-migration orphan record analysis; quarantine table for unresolved orphans; manual review workflow before load</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 Lead</w:t>
            </w:r>
          </w:p>
        </w:tc>
      </w:tr>
      <w:tr>
        <w:tc>
          <w:tcPr>
            <w:tcW w:type="dxa" w:w="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R-03</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Regulatory non-compliance — KYC or AML data incorrectly transformed or missing after migration</w:t>
            </w:r>
          </w:p>
        </w:tc>
        <w:tc>
          <w:tcPr>
            <w:tcW w:type="dxa" w:w="10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LOW</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c>
          <w:tcPr>
            <w:tcW w:type="dxa" w:w="2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Dedicated compliance validation pipeline with CCO sign-off at each phase; automated AML flag integrity checks; audit trail preserved end-to-end</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CCO</w:t>
            </w:r>
          </w:p>
        </w:tc>
      </w:tr>
      <w:tr>
        <w:tc>
          <w:tcPr>
            <w:tcW w:type="dxa" w:w="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R-04</w:t>
            </w:r>
          </w:p>
        </w:tc>
        <w:tc>
          <w:tcPr>
            <w:tcW w:type="dxa" w:w="2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Extended migration timeline causing business disruption or missed regulatory deadlines</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2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Phased approach with independent phase delivery; buffer weeks built into schedule; weekly CIO progress reviews</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CIO</w:t>
            </w:r>
          </w:p>
        </w:tc>
      </w:tr>
      <w:tr>
        <w:tc>
          <w:tcPr>
            <w:tcW w:type="dxa" w:w="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R-05</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Legacy source system performance degradation during parallel CDC extraction impacting live banking operations</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10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2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CDC extraction throttled to off-peak hours; read-only replica databases used for bulk extraction; source system performance monitored continuously</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r>
      <w:tr>
        <w:tc>
          <w:tcPr>
            <w:tcW w:type="dxa" w:w="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R-06</w:t>
            </w:r>
          </w:p>
        </w:tc>
        <w:tc>
          <w:tcPr>
            <w:tcW w:type="dxa" w:w="26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Security breach during migration — interception of PII or cardholder data in transit</w:t>
            </w:r>
          </w:p>
        </w:tc>
        <w:tc>
          <w:tcPr>
            <w:tcW w:type="dxa" w:w="10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LOW</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CRITICAL</w:t>
            </w:r>
          </w:p>
        </w:tc>
        <w:tc>
          <w:tcPr>
            <w:tcW w:type="dxa" w:w="2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TLS 1.3 end-to-end; PII masked before non-prod exposure; zero-trust network policies; CISO daily access reviews during migration</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CISO</w:t>
            </w:r>
          </w:p>
        </w:tc>
      </w:tr>
      <w:tr>
        <w:tc>
          <w:tcPr>
            <w:tcW w:type="dxa" w:w="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R-07</w:t>
            </w:r>
          </w:p>
        </w:tc>
        <w:tc>
          <w:tcPr>
            <w:tcW w:type="dxa" w:w="26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format mismatch between legacy enums and new EDW CHECK constraints causing load failures</w:t>
            </w:r>
          </w:p>
        </w:tc>
        <w:tc>
          <w:tcPr>
            <w:tcW w:type="dxa" w:w="10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HIGH</w:t>
            </w:r>
          </w:p>
        </w:tc>
        <w:tc>
          <w:tcPr>
            <w:tcW w:type="dxa" w:w="1000"/>
            <w:tcBorders>
              <w:top w:val="single" w:color="AAAAAA" w:sz="1"/>
              <w:left w:val="single" w:color="AAAAAA" w:sz="1"/>
              <w:bottom w:val="single" w:color="AAAAAA" w:sz="1"/>
              <w:right w:val="single" w:color="AAAAAA" w:sz="1"/>
            </w:tcBorders>
            <w:shd w:fill="7D5A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Pre-migration enum mapping exercise completed for all source systems; transformation rules tested against 10% data sample in sandbox</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 Lead</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11.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Stakeholder</w:t>
            </w:r>
          </w:p>
        </w:tc>
        <w:tc>
          <w:tcPr>
            <w:tcW w:type="dxa" w:w="47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Migration Responsibilities</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Migration Owner</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CIO</w:t>
            </w:r>
          </w:p>
        </w:tc>
        <w:tc>
          <w:tcPr>
            <w:tcW w:type="dxa" w:w="47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Overall accountability for migration delivery; Go/No-Go authority at production cutover; executive escalation point</w:t>
            </w:r>
          </w:p>
        </w:tc>
      </w:tr>
      <w:tr>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c>
          <w:tcPr>
            <w:tcW w:type="dxa" w:w="47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ETL pipeline design and execution; data validation framework; phase delivery; rollback execution; post-load reporting</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c>
          <w:tcPr>
            <w:tcW w:type="dxa" w:w="47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Migration architecture decisions; source system connectivity; infrastructure provisioning; integration governance</w:t>
            </w:r>
          </w:p>
        </w:tc>
      </w:tr>
      <w:tr>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Compliance Sign-off</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CCO</w:t>
            </w:r>
          </w:p>
        </w:tc>
        <w:tc>
          <w:tcPr>
            <w:tcW w:type="dxa" w:w="47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KYC/AML/GDPR validation sign-off at each phase; regulatory reporting readiness confirmation; Go/No-Go co-approval</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Security Oversight</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CISO</w:t>
            </w:r>
          </w:p>
        </w:tc>
        <w:tc>
          <w:tcPr>
            <w:tcW w:type="dxa" w:w="47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Encryption controls validation; access review during migration; PII masking verification; security incident response</w:t>
            </w:r>
          </w:p>
        </w:tc>
      </w:tr>
      <w:tr>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UAT Coordination</w:t>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Business Analyst</w:t>
            </w:r>
          </w:p>
        </w:tc>
        <w:tc>
          <w:tcPr>
            <w:tcW w:type="dxa" w:w="47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UAT test plan design; business unit coordination; parallel run reconciliation sign-off; defect tracking</w:t>
            </w:r>
          </w:p>
        </w:tc>
      </w:tr>
      <w:tr>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Independent Validation</w:t>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External Auditor</w:t>
            </w:r>
          </w:p>
        </w:tc>
        <w:tc>
          <w:tcPr>
            <w:tcW w:type="dxa" w:w="47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Independent compliance validation at Phase 5; audit evidence review; regulatory submission support</w:t>
            </w:r>
          </w:p>
        </w:tc>
      </w:tr>
    </w:tbl>
    <w:p>
      <w:pPr>
        <w:spacing w:before="80" w:after="80"/>
      </w:pPr>
      <w:r>
        <w:t xml:space="preserve"/>
      </w:r>
    </w:p>
    <w:p>
      <w:r>
        <w:br w:type="page"/>
      </w:r>
    </w:p>
    <w:p>
      <w:pPr>
        <w:pBdr>
          <w:bottom w:val="single" w:color="2E5FA3" w:sz="8" w:space="1"/>
        </w:pBdr>
        <w:spacing w:before="340" w:after="130"/>
      </w:pPr>
      <w:r>
        <w:rPr>
          <w:rFonts w:ascii="Arial" w:cs="Arial" w:eastAsia="Arial" w:hAnsi="Arial"/>
          <w:b/>
          <w:bCs/>
          <w:color w:val="1F3864"/>
          <w:sz w:val="32"/>
          <w:szCs w:val="32"/>
        </w:rPr>
        <w:t xml:space="preserve">12. Monitoring &amp; Audit Logging</w:t>
      </w:r>
    </w:p>
    <w:p>
      <w:pPr>
        <w:spacing w:before="220" w:after="90"/>
      </w:pPr>
      <w:r>
        <w:rPr>
          <w:rFonts w:ascii="Arial" w:cs="Arial" w:eastAsia="Arial" w:hAnsi="Arial"/>
          <w:b/>
          <w:bCs/>
          <w:color w:val="2E5FA3"/>
          <w:sz w:val="24"/>
          <w:szCs w:val="24"/>
        </w:rPr>
        <w:t xml:space="preserve">12.1 Migration Monitoring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KPI</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Target</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Alert Threshold</w:t>
            </w:r>
          </w:p>
        </w:tc>
        <w:tc>
          <w:tcPr>
            <w:tcW w:type="dxa" w:w="21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Monitoring Tool</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Record extraction rate</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&gt;= 50,000 records/min</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30,000 records/min</w:t>
            </w:r>
          </w:p>
        </w:tc>
        <w:tc>
          <w:tcPr>
            <w:tcW w:type="dxa" w:w="2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Kafka Consumer Lag Monitor</w:t>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ETL pipeline latency</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&lt; 500ms per batch</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&gt; 1,000ms per batch</w:t>
            </w:r>
          </w:p>
        </w:tc>
        <w:tc>
          <w:tcPr>
            <w:tcW w:type="dxa" w:w="21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IBM Cloud Monitoring</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Validation failure rate</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0.01% of records</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&gt; 0.1% of records</w:t>
            </w:r>
          </w:p>
        </w:tc>
        <w:tc>
          <w:tcPr>
            <w:tcW w:type="dxa" w:w="2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 validation dashboard</w:t>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Record count reconciliation</w:t>
            </w:r>
          </w:p>
        </w:tc>
        <w:tc>
          <w:tcPr>
            <w:tcW w:type="dxa" w:w="2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100% match source vs EDW</w:t>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Any discrepancy</w:t>
            </w:r>
          </w:p>
        </w:tc>
        <w:tc>
          <w:tcPr>
            <w:tcW w:type="dxa" w:w="21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Reconciliation report (auto)</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Source system CPU/IO impact</w:t>
            </w:r>
          </w:p>
        </w:tc>
        <w:tc>
          <w:tcPr>
            <w:tcW w:type="dxa" w:w="2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&lt; 20% additional load</w:t>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&gt; 35% additional load</w:t>
            </w:r>
          </w:p>
        </w:tc>
        <w:tc>
          <w:tcPr>
            <w:tcW w:type="dxa" w:w="2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Datadog / Dynatrace</w:t>
            </w:r>
          </w:p>
        </w:tc>
      </w:tr>
    </w:tbl>
    <w:p>
      <w:pPr>
        <w:spacing w:before="120" w:after="60"/>
      </w:pPr>
      <w:r>
        <w:t xml:space="preserve"/>
      </w:r>
    </w:p>
    <w:p>
      <w:pPr>
        <w:spacing w:before="220" w:after="90"/>
      </w:pPr>
      <w:r>
        <w:rPr>
          <w:rFonts w:ascii="Arial" w:cs="Arial" w:eastAsia="Arial" w:hAnsi="Arial"/>
          <w:b/>
          <w:bCs/>
          <w:color w:val="2E5FA3"/>
          <w:sz w:val="24"/>
          <w:szCs w:val="24"/>
        </w:rPr>
        <w:t xml:space="preserve">12.2 Audit Log Requirements</w:t>
      </w:r>
    </w:p>
    <w:p>
      <w:pPr>
        <w:pStyle w:val="ListParagraph"/>
        <w:numPr>
          <w:ilvl w:val="0"/>
          <w:numId w:val="2"/>
        </w:numPr>
        <w:spacing w:before="30" w:after="30"/>
      </w:pPr>
      <w:r>
        <w:rPr>
          <w:rFonts w:ascii="Arial" w:cs="Arial" w:eastAsia="Arial" w:hAnsi="Arial"/>
          <w:b w:val="false"/>
          <w:bCs w:val="false"/>
          <w:color w:val="222222"/>
          <w:sz w:val="20"/>
          <w:szCs w:val="20"/>
        </w:rPr>
        <w:t xml:space="preserve">Every ETL batch execution logged: timestamp, source system, record count extracted, validation result, and operator ID</w:t>
      </w:r>
    </w:p>
    <w:p>
      <w:pPr>
        <w:pStyle w:val="ListParagraph"/>
        <w:numPr>
          <w:ilvl w:val="0"/>
          <w:numId w:val="2"/>
        </w:numPr>
        <w:spacing w:before="30" w:after="30"/>
      </w:pPr>
      <w:r>
        <w:rPr>
          <w:rFonts w:ascii="Arial" w:cs="Arial" w:eastAsia="Arial" w:hAnsi="Arial"/>
          <w:b w:val="false"/>
          <w:bCs w:val="false"/>
          <w:color w:val="222222"/>
          <w:sz w:val="20"/>
          <w:szCs w:val="20"/>
        </w:rPr>
        <w:t xml:space="preserve">Every transformation rule applied logged with rule ID, field affected, before/after values, and batch ID</w:t>
      </w:r>
    </w:p>
    <w:p>
      <w:pPr>
        <w:pStyle w:val="ListParagraph"/>
        <w:numPr>
          <w:ilvl w:val="0"/>
          <w:numId w:val="2"/>
        </w:numPr>
        <w:spacing w:before="30" w:after="30"/>
      </w:pPr>
      <w:r>
        <w:rPr>
          <w:rFonts w:ascii="Arial" w:cs="Arial" w:eastAsia="Arial" w:hAnsi="Arial"/>
          <w:b w:val="false"/>
          <w:bCs w:val="false"/>
          <w:color w:val="222222"/>
          <w:sz w:val="20"/>
          <w:szCs w:val="20"/>
        </w:rPr>
        <w:t xml:space="preserve">Every load operation logged: target table, record count inserted/updated, hash validation result, and load duration</w:t>
      </w:r>
    </w:p>
    <w:p>
      <w:pPr>
        <w:pStyle w:val="ListParagraph"/>
        <w:numPr>
          <w:ilvl w:val="0"/>
          <w:numId w:val="2"/>
        </w:numPr>
        <w:spacing w:before="30" w:after="30"/>
      </w:pPr>
      <w:r>
        <w:rPr>
          <w:rFonts w:ascii="Arial" w:cs="Arial" w:eastAsia="Arial" w:hAnsi="Arial"/>
          <w:b w:val="false"/>
          <w:bCs w:val="false"/>
          <w:color w:val="222222"/>
          <w:sz w:val="20"/>
          <w:szCs w:val="20"/>
        </w:rPr>
        <w:t xml:space="preserve">All rollback events logged with trigger condition, action taken, records affected, and authorisation details</w:t>
      </w:r>
    </w:p>
    <w:p>
      <w:pPr>
        <w:pStyle w:val="ListParagraph"/>
        <w:numPr>
          <w:ilvl w:val="0"/>
          <w:numId w:val="2"/>
        </w:numPr>
        <w:spacing w:before="30" w:after="30"/>
      </w:pPr>
      <w:r>
        <w:rPr>
          <w:rFonts w:ascii="Arial" w:cs="Arial" w:eastAsia="Arial" w:hAnsi="Arial"/>
          <w:b w:val="false"/>
          <w:bCs w:val="false"/>
          <w:color w:val="222222"/>
          <w:sz w:val="20"/>
          <w:szCs w:val="20"/>
        </w:rPr>
        <w:t xml:space="preserve">Audit logs retained for 7 years in the EDW compliance_logs table in accordance with regulatory requirements</w:t>
      </w:r>
    </w:p>
    <w:p>
      <w:pPr>
        <w:pStyle w:val="ListParagraph"/>
        <w:numPr>
          <w:ilvl w:val="0"/>
          <w:numId w:val="2"/>
        </w:numPr>
        <w:spacing w:before="30" w:after="30"/>
      </w:pPr>
      <w:r>
        <w:rPr>
          <w:rFonts w:ascii="Arial" w:cs="Arial" w:eastAsia="Arial" w:hAnsi="Arial"/>
          <w:b w:val="false"/>
          <w:bCs w:val="false"/>
          <w:color w:val="222222"/>
          <w:sz w:val="20"/>
          <w:szCs w:val="20"/>
        </w:rPr>
        <w:t xml:space="preserve">Audit logs are immutable — write-once, append-only with no update or delete permissions on compliance_logs</w:t>
      </w:r>
    </w:p>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13. Go / No-Go Decision Gates</w:t>
      </w:r>
    </w:p>
    <w:p>
      <w:pPr>
        <w:spacing w:before="60" w:after="60"/>
      </w:pPr>
      <w:r>
        <w:rPr>
          <w:rFonts w:ascii="Arial" w:cs="Arial" w:eastAsia="Arial" w:hAnsi="Arial"/>
          <w:color w:val="222222"/>
          <w:sz w:val="20"/>
          <w:szCs w:val="20"/>
        </w:rPr>
        <w:t xml:space="preserve">A formal Go/No-Go decision gate is conducted at the end of each migration phase before proceeding to the next. All criteria must be met for a GO decision. A NO-GO triggers a defined remediation period before re-assessment.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1400"/>
        <w:gridCol w:w="1400"/>
      </w:tblGrid>
      <w:tr>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Gate</w:t>
            </w:r>
          </w:p>
        </w:tc>
        <w:tc>
          <w:tcPr>
            <w:tcW w:type="dxa" w:w="51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Go Criteria</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Decision Authority</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Max Wait</w:t>
            </w:r>
          </w:p>
        </w:tc>
      </w:tr>
      <w:tr>
        <w:tc>
          <w:tcPr>
            <w:tcW w:type="dxa" w:w="14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Gate 1
Phase 1→2</w:t>
            </w:r>
          </w:p>
        </w:tc>
        <w:tc>
          <w:tcPr>
            <w:tcW w:type="dxa" w:w="5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100% compliance archives loaded; AML flags validated; compliance_logs record count matches source archive</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CCO + Data Eng Lead</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48 hours</w:t>
            </w:r>
          </w:p>
        </w:tc>
      </w:tr>
      <w:tr>
        <w:tc>
          <w:tcPr>
            <w:tcW w:type="dxa" w:w="1400"/>
            <w:tcBorders>
              <w:top w:val="single" w:color="AAAAAA" w:sz="1"/>
              <w:left w:val="single" w:color="AAAAAA" w:sz="1"/>
              <w:bottom w:val="single" w:color="AAAAAA" w:sz="1"/>
              <w:right w:val="single" w:color="AAAAAA" w:sz="1"/>
            </w:tcBorders>
            <w:shd w:fill="2E5FA3"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Gate 2
Phase 2→3</w:t>
            </w:r>
          </w:p>
        </w:tc>
        <w:tc>
          <w:tcPr>
            <w:tcW w:type="dxa" w:w="51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Customer deduplication complete; KYC status preserved on all records; accounts FK integrity 100%; parallel read validation passes</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CCO + CIO</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48 hours</w:t>
            </w:r>
          </w:p>
        </w:tc>
      </w:tr>
      <w:tr>
        <w:tc>
          <w:tcPr>
            <w:tcW w:type="dxa" w:w="1400"/>
            <w:tcBorders>
              <w:top w:val="single" w:color="AAAAAA" w:sz="1"/>
              <w:left w:val="single" w:color="AAAAAA" w:sz="1"/>
              <w:bottom w:val="single" w:color="AAAAAA" w:sz="1"/>
              <w:right w:val="single" w:color="AAAAAA" w:sz="1"/>
            </w:tcBorders>
            <w:shd w:fill="A842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Gate 3
Phase 3→4</w:t>
            </w:r>
          </w:p>
        </w:tc>
        <w:tc>
          <w:tcPr>
            <w:tcW w:type="dxa" w:w="5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loan records loaded; no orphaned loans; credit scores mapped correctly; loan status enums validated; business unit sign-off</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 Lead + BA</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48 hours</w:t>
            </w:r>
          </w:p>
        </w:tc>
      </w:tr>
      <w:tr>
        <w:tc>
          <w:tcPr>
            <w:tcW w:type="dxa" w:w="1400"/>
            <w:tcBorders>
              <w:top w:val="single" w:color="AAAAAA" w:sz="1"/>
              <w:left w:val="single" w:color="AAAAAA" w:sz="1"/>
              <w:bottom w:val="single" w:color="AAAAAA" w:sz="1"/>
              <w:right w:val="single" w:color="AAAAAA" w:sz="1"/>
            </w:tcBorders>
            <w:shd w:fill="5B2C6F"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Gate 4
Phase 4→5</w:t>
            </w:r>
          </w:p>
        </w:tc>
        <w:tc>
          <w:tcPr>
            <w:tcW w:type="dxa" w:w="51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Transaction count reconciles within 0.01% of source; UTC timestamps consistent; reference_no unique constraint passes; no data loss confirmed</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CIO + CISO</w:t>
            </w:r>
          </w:p>
        </w:tc>
        <w:tc>
          <w:tcPr>
            <w:tcW w:type="dxa" w:w="14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72 hours</w:t>
            </w:r>
          </w:p>
        </w:tc>
      </w:tr>
      <w:tr>
        <w:tc>
          <w:tcPr>
            <w:tcW w:type="dxa" w:w="1400"/>
            <w:tcBorders>
              <w:top w:val="single" w:color="AAAAAA" w:sz="1"/>
              <w:left w:val="single" w:color="AAAAAA" w:sz="1"/>
              <w:bottom w:val="single" w:color="AAAAAA" w:sz="1"/>
              <w:right w:val="single" w:color="AAAAAA" w:sz="1"/>
            </w:tcBorders>
            <w:shd w:fill="8B0000"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Gate 5
CUTOVER</w:t>
            </w:r>
          </w:p>
        </w:tc>
        <w:tc>
          <w:tcPr>
            <w:tcW w:type="dxa" w:w="51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parallel run reconciliations pass; UAT signed off by all business units; CCO regulatory compliance confirmed; CISO security controls validated; External Auditor review complete</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CEO + CIO + CCO</w:t>
            </w:r>
          </w:p>
        </w:tc>
        <w:tc>
          <w:tcPr>
            <w:tcW w:type="dxa" w:w="14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Exec decision</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14. Strategy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Validation Criteria</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Status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All source systems identified with data volumes and quality risk ratings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Migration objectives defined with priority levels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ETL pipeline architecture documented (Extract → Transform → Load)</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extraction method defined per source system</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Phased migration timeline with owners defined (6 phases)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validation framework with 4 checkpoints and pass/fail thresholds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quality rules documented (DQ-01 through DQ-07)</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Encryption standards and key management documented</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KYC, AML, PCI-DSS, and GDPR regulatory compliance controls mapped</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Rollback strategy defined per phase with time targets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Risk register documented with probability, impact, and mitigations (7 risks)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Roles and responsibilities assigned across all migration functions</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Migration KPIs and audit log requirements defined</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Go/No-Go decision gates defined with criteria and decision authority</w:t>
            </w:r>
          </w:p>
        </w:tc>
        <w:tc>
          <w:tcPr>
            <w:tcW w:type="dxa" w:w="1800"/>
            <w:tcBorders>
              <w:top w:val="single" w:color="AAAAAA" w:sz="1"/>
              <w:left w:val="single" w:color="AAAAAA" w:sz="1"/>
              <w:bottom w:val="single" w:color="AAAAAA" w:sz="1"/>
              <w:right w:val="single" w:color="AAAAAA" w:sz="1"/>
            </w:tcBorders>
            <w:shd w:fill="1A6B35" w:val="clear"/>
            <w:tcMar>
              <w:top w:type="dxa" w:w="85"/>
              <w:left w:type="dxa" w:w="130"/>
              <w:bottom w:type="dxa" w:w="85"/>
              <w:right w:type="dxa" w:w="130"/>
            </w:tcMar>
            <w:vAlign w:val="center"/>
          </w:tcPr>
          <w:p>
            <w:pPr>
              <w:jc w:val="center"/>
            </w:pPr>
            <w:r>
              <w:rPr>
                <w:rFonts w:ascii="Arial" w:cs="Arial" w:eastAsia="Arial" w:hAnsi="Arial"/>
                <w:b/>
                <w:bCs/>
                <w:color w:val="FFFFFF"/>
                <w:sz w:val="20"/>
                <w:szCs w:val="20"/>
              </w:rPr>
              <w:t xml:space="preserve">YES</w:t>
            </w:r>
          </w:p>
        </w:tc>
      </w:tr>
    </w:tbl>
    <w:p>
      <w:pPr>
        <w:spacing w:before="80" w:after="80"/>
      </w:pPr>
      <w:r>
        <w:t xml:space="preserve"/>
      </w:r>
    </w:p>
    <w:p>
      <w:pPr>
        <w:pBdr>
          <w:bottom w:val="single" w:color="2E5FA3" w:sz="8" w:space="1"/>
        </w:pBdr>
        <w:spacing w:before="340" w:after="130"/>
      </w:pPr>
      <w:r>
        <w:rPr>
          <w:rFonts w:ascii="Arial" w:cs="Arial" w:eastAsia="Arial" w:hAnsi="Arial"/>
          <w:b/>
          <w:bCs/>
          <w:color w:val="1F3864"/>
          <w:sz w:val="32"/>
          <w:szCs w:val="32"/>
        </w:rPr>
        <w:t xml:space="preserve">15. Document Approval &amp; Sign-Off</w:t>
      </w:r>
    </w:p>
    <w:p>
      <w:pPr>
        <w:spacing w:before="60" w:after="60"/>
      </w:pPr>
      <w:r>
        <w:rPr>
          <w:rFonts w:ascii="Arial" w:cs="Arial" w:eastAsia="Arial" w:hAnsi="Arial"/>
          <w:color w:val="222222"/>
          <w:sz w:val="20"/>
          <w:szCs w:val="20"/>
        </w:rPr>
        <w:t xml:space="preserve">By signing below, the designated approvers confirm they have reviewed this Data Migration Strategy and authorize its implementation as part of the Core Digital Transformation for Retail Banking programme.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60"/>
        <w:gridCol w:w="2000"/>
      </w:tblGrid>
      <w:tr>
        <w:tc>
          <w:tcPr>
            <w:tcW w:type="dxa" w:w="28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Name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Title</w:t>
            </w:r>
          </w:p>
        </w:tc>
        <w:tc>
          <w:tcPr>
            <w:tcW w:type="dxa" w:w="236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Signature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r>
              <w:rPr>
                <w:rFonts w:ascii="Arial" w:cs="Arial" w:eastAsia="Arial" w:hAnsi="Arial"/>
                <w:b/>
                <w:bCs/>
                <w:color w:val="FFFFFF"/>
                <w:sz w:val="20"/>
                <w:szCs w:val="20"/>
              </w:rPr>
              <w:t xml:space="preserve">Date</w:t>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Chief Information Officer (CIO)</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Chief Compliance Officer (CCO)</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Chief Information Security Officer (CISO)</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r>
      <w:tr>
        <w:tc>
          <w:tcPr>
            <w:tcW w:type="dxa" w:w="28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2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Enterprise Architect</w:t>
            </w:r>
          </w:p>
        </w:tc>
        <w:tc>
          <w:tcPr>
            <w:tcW w:type="dxa" w:w="236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EAF2FB"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Data Engineering Lead</w:t>
            </w:r>
          </w:p>
        </w:tc>
        <w:tc>
          <w:tcPr>
            <w:tcW w:type="dxa" w:w="236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5"/>
              <w:left w:type="dxa" w:w="130"/>
              <w:bottom w:type="dxa" w:w="85"/>
              <w:right w:type="dxa" w:w="130"/>
            </w:tcMar>
          </w:tcPr>
          <w:p>
            <w:r>
              <w:rPr>
                <w:rFonts w:ascii="Arial" w:cs="Arial" w:eastAsia="Arial" w:hAnsi="Arial"/>
                <w:b w:val="false"/>
                <w:bCs w:val="false"/>
                <w:color w:val="111111"/>
                <w:sz w:val="20"/>
                <w:szCs w:val="20"/>
              </w:rPr>
              <w:t xml:space="preserve"/>
            </w:r>
          </w:p>
        </w:tc>
      </w:tr>
    </w:tbl>
    <w:p>
      <w:pPr>
        <w:spacing w:before="160" w:after="60"/>
      </w:pPr>
      <w:r>
        <w:t xml:space="preserve"/>
      </w:r>
    </w:p>
    <w:p>
      <w:pPr>
        <w:jc w:val="center"/>
      </w:pPr>
      <w:r>
        <w:rPr>
          <w:rFonts w:ascii="Arial" w:cs="Arial" w:eastAsia="Arial" w:hAnsi="Arial"/>
          <w:i/>
          <w:iCs/>
          <w:color w:val="888888"/>
          <w:sz w:val="16"/>
          <w:szCs w:val="16"/>
        </w:rPr>
        <w:t xml:space="preserve">Core Digital Transformation for Retail Banking  |  Data Migration Strategy  |  Confidential  |  v1.0  |  February 18,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pPr>
    <w:r>
      <w:rPr>
        <w:rFonts w:ascii="Arial" w:cs="Arial" w:eastAsia="Arial" w:hAnsi="Arial"/>
        <w:color w:val="777777"/>
        <w:sz w:val="16"/>
        <w:szCs w:val="16"/>
      </w:rPr>
      <w:t xml:space="preserve">Confidential  |  v1.0  |  February 18, 2026  |  Core Digital Transformation for Retail Banking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8" w:space="1"/>
      </w:pBdr>
      <w:spacing w:before="0" w:after="100"/>
    </w:pPr>
    <w:r>
      <w:rPr>
        <w:rFonts w:ascii="Arial" w:cs="Arial" w:eastAsia="Arial" w:hAnsi="Arial"/>
        <w:b/>
        <w:bCs/>
        <w:color w:val="1F3864"/>
        <w:sz w:val="18"/>
        <w:szCs w:val="18"/>
      </w:rPr>
      <w:t xml:space="preserve">DATA MIGRATION STRATEGY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19"/>
        <w:szCs w:val="19"/>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2026-02-18T08:35:30.479Z</dcterms:created>
  <dcterms:modified xsi:type="dcterms:W3CDTF">2026-02-18T08:35:30.479Z</dcterms:modified>
</cp:coreProperties>
</file>

<file path=docProps/custom.xml><?xml version="1.0" encoding="utf-8"?>
<Properties xmlns="http://schemas.openxmlformats.org/officeDocument/2006/custom-properties" xmlns:vt="http://schemas.openxmlformats.org/officeDocument/2006/docPropsVTypes"/>
</file>