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CONTAINER TOPOLOGY DIAGRAM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4"/>
                <w:szCs w:val="24"/>
              </w:rPr>
              <w:t xml:space="preserve">Core Digital Transformation for Retail Banking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BBDD"/>
                <w:sz w:val="20"/>
                <w:szCs w:val="20"/>
              </w:rPr>
              <w:t xml:space="preserve">Lab: Container, Docker, and IBM Cloud Container Registry  ·  Task 1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Date: Feb 18, 2026</w:t>
            </w:r>
          </w:p>
        </w:tc>
        <w:tc>
          <w:tcPr>
            <w:tcW w:type="dxa" w:w="26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Version: 1.0</w:t>
            </w:r>
          </w:p>
        </w:tc>
        <w:tc>
          <w:tcPr>
            <w:tcW w:type="dxa" w:w="26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Prepared By: Solution Architect</w:t>
            </w:r>
          </w:p>
        </w:tc>
        <w:tc>
          <w:tcPr>
            <w:tcW w:type="dxa" w:w="26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Status: Draft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Overview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presents the initial container topology for three core banking microservices deployed on a cloud-native, containerized infrastructure. The architecture segments services into a public-facing network (API Gateway) and an internal network (Auth, Loan, and Onboarding services), with container images stored in and pulled from a cloud container registry (IBM Cloud Container Registry or AWS ECR).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Microservices Summary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20"/>
        <w:gridCol w:w="2600"/>
        <w:gridCol w:w="2620"/>
      </w:tblGrid>
      <w:t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Network Zone</w:t>
            </w:r>
          </w:p>
        </w:tc>
        <w:tc>
          <w:tcPr>
            <w:tcW w:type="dxa" w:w="26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Exposed Port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Routes external requests to internal microservices; SSL termination, rate limiting, auth token validation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9"/>
                <w:szCs w:val="19"/>
              </w:rPr>
              <w:t xml:space="preserve">🌐  Public Network</w:t>
            </w:r>
          </w:p>
        </w:tc>
        <w:tc>
          <w:tcPr>
            <w:tcW w:type="dxa" w:w="2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443 / 80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3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Handles customer login, JWT token issuance, MFA verification, and session lifecycle management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🔒  Internal Network</w:t>
            </w:r>
          </w:p>
        </w:tc>
        <w:tc>
          <w:tcPr>
            <w:tcW w:type="dxa" w:w="2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loan-service</w:t>
            </w:r>
          </w:p>
        </w:tc>
        <w:tc>
          <w:tcPr>
            <w:tcW w:type="dxa" w:w="3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Processes loan applications, EMI calculations, credit bureau API calls, and manages the loan lifecycle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🔒  Internal Network</w:t>
            </w:r>
          </w:p>
        </w:tc>
        <w:tc>
          <w:tcPr>
            <w:tcW w:type="dxa" w:w="2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3001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0"/>
                <w:szCs w:val="20"/>
              </w:rPr>
              <w:t xml:space="preserve">onboarding-service</w:t>
            </w:r>
          </w:p>
        </w:tc>
        <w:tc>
          <w:tcPr>
            <w:tcW w:type="dxa" w:w="3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Validates KYC documents, opens new customer accounts, triggers AML screening, and sends welcome notifications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🔒  Internal Network</w:t>
            </w:r>
          </w:p>
        </w:tc>
        <w:tc>
          <w:tcPr>
            <w:tcW w:type="dxa" w:w="26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3002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Container Topology Diagram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The diagram below represents the deployment-level architecture. Dashed blue borders indicate the Public Network zone; solid green borders indicate the Internal Network zone. Arrows show request flow and image-pull direction from the container registry.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4A6FA5" w:sz="10"/>
              <w:left w:val="single" w:color="4A6FA5" w:sz="10"/>
              <w:bottom w:val="single" w:color="4A6FA5" w:sz="10"/>
              <w:right w:val="single" w:color="4A6FA5" w:sz="1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☁   CONTAINER REGISTRY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DDFF"/>
                <w:sz w:val="19"/>
                <w:szCs w:val="19"/>
              </w:rPr>
              <w:t xml:space="preserve">IBM Cloud Container Registry  ·  AWS ECR (Elastic Container Registry)</w:t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100"/>
              <w:gridCol w:w="3200"/>
              <w:gridCol w:w="100"/>
              <w:gridCol w:w="3200"/>
            </w:tblGrid>
            <w:tr>
              <w:tc>
                <w:tcPr>
                  <w:tcW w:type="dxa" w:w="3200"/>
                  <w:tcBorders>
                    <w:top w:val="single" w:color="7F8EC0" w:sz="6"/>
                    <w:left w:val="single" w:color="7F8EC0" w:sz="6"/>
                    <w:bottom w:val="single" w:color="7F8EC0" w:sz="6"/>
                    <w:right w:val="single" w:color="7F8EC0" w:sz="6"/>
                  </w:tcBorders>
                  <w:shd w:fill="2C3E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4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A6F1E"/>
                      <w:sz w:val="19"/>
                      <w:szCs w:val="19"/>
                    </w:rPr>
                    <w:t xml:space="preserve">📦  auth-service:latest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BBBBBB"/>
                      <w:sz w:val="17"/>
                      <w:szCs w:val="17"/>
                    </w:rPr>
                    <w:t xml:space="preserve">Node 18-alpine · ~45MB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200"/>
                  <w:tcBorders>
                    <w:top w:val="single" w:color="7F8EC0" w:sz="6"/>
                    <w:left w:val="single" w:color="7F8EC0" w:sz="6"/>
                    <w:bottom w:val="single" w:color="7F8EC0" w:sz="6"/>
                    <w:right w:val="single" w:color="7F8EC0" w:sz="6"/>
                  </w:tcBorders>
                  <w:shd w:fill="2C3E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4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DADE2"/>
                      <w:sz w:val="19"/>
                      <w:szCs w:val="19"/>
                    </w:rPr>
                    <w:t xml:space="preserve">📦  loan-service:latest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BBBBBB"/>
                      <w:sz w:val="17"/>
                      <w:szCs w:val="17"/>
                    </w:rPr>
                    <w:t xml:space="preserve">Node 18-alpine · ~45MB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200"/>
                  <w:tcBorders>
                    <w:top w:val="single" w:color="7F8EC0" w:sz="6"/>
                    <w:left w:val="single" w:color="7F8EC0" w:sz="6"/>
                    <w:bottom w:val="single" w:color="7F8EC0" w:sz="6"/>
                    <w:right w:val="single" w:color="7F8EC0" w:sz="6"/>
                  </w:tcBorders>
                  <w:shd w:fill="2C3E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4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AF7AC5"/>
                      <w:sz w:val="19"/>
                      <w:szCs w:val="19"/>
                    </w:rPr>
                    <w:t xml:space="preserve">📦  onboarding-service:latest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BBBBBB"/>
                      <w:sz w:val="17"/>
                      <w:szCs w:val="17"/>
                    </w:rPr>
                    <w:t xml:space="preserve">Node 18-alpine · ~45MB</w:t>
                  </w:r>
                </w:p>
              </w:tc>
            </w:tr>
          </w:tbl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"/>
        <w:gridCol w:w="3480"/>
        <w:gridCol w:w="80"/>
        <w:gridCol w:w="1700"/>
        <w:gridCol w:w="80"/>
        <w:gridCol w:w="34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⬇  image pull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dashed" w:color="2980B9" w:sz="10"/>
              <w:left w:val="dashed" w:color="2980B9" w:sz="10"/>
              <w:bottom w:val="dashed" w:color="2980B9" w:sz="10"/>
              <w:right w:val="dashed" w:color="2980B9" w:sz="1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🌐  PUBLIC NETWORK</w:t>
            </w:r>
          </w:p>
          <w:tbl>
            <w:tblPr>
              <w:tblW w:type="dxa" w:w="9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700"/>
            </w:tblGrid>
            <w:tr>
              <w:tc>
                <w:tcPr>
                  <w:tcW w:type="dxa" w:w="9700"/>
                  <w:tcBorders>
                    <w:top w:val="single" w:color="5DADE2" w:sz="6"/>
                    <w:left w:val="single" w:color="5DADE2" w:sz="6"/>
                    <w:bottom w:val="single" w:color="5DADE2" w:sz="6"/>
                    <w:right w:val="single" w:color="5DADE2" w:sz="6"/>
                  </w:tcBorders>
                  <w:shd w:fill="1A4B7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8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🔀  API GATEWAY</w:t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CCDDFF"/>
                      <w:sz w:val="19"/>
                      <w:szCs w:val="19"/>
                    </w:rPr>
                    <w:t xml:space="preserve">NGINX / Kong  ·  :443 / :80  ·  SSL Termination  ·  Rate Limiting  ·  Token Validation</w:t>
                  </w:r>
                </w:p>
                <w:tbl>
                  <w:tblPr>
                    <w:tblW w:type="dxa" w:w="9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00"/>
                    <w:gridCol w:w="200"/>
                    <w:gridCol w:w="3000"/>
                    <w:gridCol w:w="200"/>
                    <w:gridCol w:w="2800"/>
                  </w:tblGrid>
                  <w:tr>
                    <w:tc>
                      <w:tcPr>
                        <w:tcW w:type="dxa" w:w="3000"/>
                        <w:tcBorders>
                          <w:top w:val="single" w:color="E59866" w:sz="6"/>
                          <w:left w:val="single" w:color="E59866" w:sz="6"/>
                          <w:bottom w:val="single" w:color="E59866" w:sz="6"/>
                          <w:right w:val="single" w:color="E59866" w:sz="6"/>
                        </w:tcBorders>
                        <w:shd w:fill="1A3A5C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before="0" w:after="8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CA6F1E"/>
                            <w:sz w:val="18"/>
                            <w:szCs w:val="18"/>
                          </w:rPr>
                          <w:t xml:space="preserve">Route: /api/auth/*</w:t>
                        </w:r>
                      </w:p>
                      <w:p>
                        <w:pPr>
                          <w:spacing w:before="0" w:after="8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DDDDDD"/>
                            <w:sz w:val="18"/>
                            <w:szCs w:val="18"/>
                          </w:rPr>
                          <w:t xml:space="preserve">→ auth-service:3000</w:t>
                        </w:r>
                      </w:p>
                    </w:tc>
                    <w:tc>
                      <w:tcPr>
                        <w:tcW w:type="dxa" w:w="2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4B7A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222222"/>
                            <w:sz w:val="20"/>
                            <w:szCs w:val="20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0"/>
                        <w:tcBorders>
                          <w:top w:val="single" w:color="5DADE2" w:sz="6"/>
                          <w:left w:val="single" w:color="5DADE2" w:sz="6"/>
                          <w:bottom w:val="single" w:color="5DADE2" w:sz="6"/>
                          <w:right w:val="single" w:color="5DADE2" w:sz="6"/>
                        </w:tcBorders>
                        <w:shd w:fill="1A3A5C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before="0" w:after="8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5DADE2"/>
                            <w:sz w:val="18"/>
                            <w:szCs w:val="18"/>
                          </w:rPr>
                          <w:t xml:space="preserve">Route: /api/loans/*</w:t>
                        </w:r>
                      </w:p>
                      <w:p>
                        <w:pPr>
                          <w:spacing w:before="0" w:after="8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DDDDDD"/>
                            <w:sz w:val="18"/>
                            <w:szCs w:val="18"/>
                          </w:rPr>
                          <w:t xml:space="preserve">→ loan-service:3001</w:t>
                        </w:r>
                      </w:p>
                    </w:tc>
                    <w:tc>
                      <w:tcPr>
                        <w:tcW w:type="dxa" w:w="2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4B7A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222222"/>
                            <w:sz w:val="20"/>
                            <w:szCs w:val="20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800"/>
                        <w:tcBorders>
                          <w:top w:val="single" w:color="AF7AC5" w:sz="6"/>
                          <w:left w:val="single" w:color="AF7AC5" w:sz="6"/>
                          <w:bottom w:val="single" w:color="AF7AC5" w:sz="6"/>
                          <w:right w:val="single" w:color="AF7AC5" w:sz="6"/>
                        </w:tcBorders>
                        <w:shd w:fill="1A3A5C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before="0" w:after="8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AF7AC5"/>
                            <w:sz w:val="18"/>
                            <w:szCs w:val="18"/>
                          </w:rPr>
                          <w:t xml:space="preserve">Route: /api/onboard/*</w:t>
                        </w:r>
                      </w:p>
                      <w:p>
                        <w:pPr>
                          <w:spacing w:before="0" w:after="8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DDDDDD"/>
                            <w:sz w:val="18"/>
                            <w:szCs w:val="18"/>
                          </w:rPr>
                          <w:t xml:space="preserve">→ onboarding-service:3002</w:t>
                        </w:r>
                      </w:p>
                    </w:tc>
                  </w:tr>
                </w:tbl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80"/>
        <w:gridCol w:w="2880"/>
        <w:gridCol w:w="380"/>
        <w:gridCol w:w="1440"/>
        <w:gridCol w:w="380"/>
        <w:gridCol w:w="280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⬇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⬇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⬇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E8449" w:sz="10"/>
              <w:left w:val="single" w:color="1E8449" w:sz="10"/>
              <w:bottom w:val="single" w:color="1E8449" w:sz="10"/>
              <w:right w:val="single" w:color="1E8449" w:sz="10"/>
            </w:tcBorders>
            <w:shd w:fill="F0FB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🔒  INTERNAL NETWORK  (not publicly accessible)</w:t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00"/>
              <w:gridCol w:w="200"/>
              <w:gridCol w:w="3100"/>
              <w:gridCol w:w="200"/>
              <w:gridCol w:w="3200"/>
            </w:tblGrid>
            <w:tr>
              <w:tc>
                <w:tcPr>
                  <w:tcW w:type="dxa" w:w="3100"/>
                  <w:tcBorders>
                    <w:top w:val="single" w:color="CA6F1E" w:sz="12"/>
                    <w:left w:val="single" w:color="CA6F1E" w:sz="12"/>
                    <w:bottom w:val="single" w:color="CA6F1E" w:sz="12"/>
                    <w:right w:val="single" w:color="CA6F1E" w:sz="12"/>
                  </w:tcBorders>
                  <w:shd w:fill="FDEBD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40" w:after="2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32"/>
                      <w:szCs w:val="32"/>
                    </w:rPr>
                    <w:t xml:space="preserve">🔐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A6F1E"/>
                      <w:sz w:val="24"/>
                      <w:szCs w:val="24"/>
                    </w:rPr>
                    <w:t xml:space="preserve">auth-service</w:t>
                  </w:r>
                </w:p>
                <w:p>
                  <w:pPr>
                    <w:spacing w:before="0" w:after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Port: 3000</w:t>
                  </w:r>
                </w:p>
                <w:tbl>
                  <w:tblPr>
                    <w:tblW w:type="dxa" w:w="27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700"/>
                  </w:tblGrid>
                  <w:tr>
                    <w:tc>
                      <w:tcPr>
                        <w:tcW w:type="dxa" w:w="2700"/>
                        <w:tcBorders>
                          <w:top w:val="single" w:color="E59866" w:sz="4"/>
                          <w:left w:val="single" w:color="E59866" w:sz="4"/>
                          <w:bottom w:val="single" w:color="E59866" w:sz="4"/>
                          <w:right w:val="single" w:color="E59866" w:sz="4"/>
                        </w:tcBorders>
                        <w:shd w:fill="FEF9E7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555555"/>
                            <w:sz w:val="17"/>
                            <w:szCs w:val="17"/>
                          </w:rPr>
                          <w:t xml:space="preserve">• JWT issuance &amp; validation</w:t>
                        </w:r>
                      </w:p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555555"/>
                            <w:sz w:val="17"/>
                            <w:szCs w:val="17"/>
                          </w:rPr>
                          <w:t xml:space="preserve">• MFA enforcement</w:t>
                        </w:r>
                      </w:p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555555"/>
                            <w:sz w:val="17"/>
                            <w:szCs w:val="17"/>
                          </w:rPr>
                          <w:t xml:space="preserve">• Session management</w:t>
                        </w:r>
                      </w:p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555555"/>
                            <w:sz w:val="17"/>
                            <w:szCs w:val="17"/>
                          </w:rPr>
                          <w:t xml:space="preserve">• RBAC token embedding</w:t>
                        </w:r>
                      </w:p>
                    </w:tc>
                  </w:tr>
                </w:tbl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9FA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00"/>
                  <w:tcBorders>
                    <w:top w:val="single" w:color="117A65" w:sz="12"/>
                    <w:left w:val="single" w:color="117A65" w:sz="12"/>
                    <w:bottom w:val="single" w:color="117A65" w:sz="12"/>
                    <w:right w:val="single" w:color="117A65" w:sz="12"/>
                  </w:tcBorders>
                  <w:shd w:fill="D1F2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40" w:after="2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32"/>
                      <w:szCs w:val="32"/>
                    </w:rPr>
                    <w:t xml:space="preserve">💳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7A65"/>
                      <w:sz w:val="24"/>
                      <w:szCs w:val="24"/>
                    </w:rPr>
                    <w:t xml:space="preserve">loan-service</w:t>
                  </w:r>
                </w:p>
                <w:p>
                  <w:pPr>
                    <w:spacing w:before="0" w:after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Port: 3001</w:t>
                  </w:r>
                </w:p>
                <w:tbl>
                  <w:tblPr>
                    <w:tblW w:type="dxa" w:w="27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700"/>
                  </w:tblGrid>
                  <w:tr>
                    <w:tc>
                      <w:tcPr>
                        <w:tcW w:type="dxa" w:w="2700"/>
                        <w:tcBorders>
                          <w:top w:val="single" w:color="1ABC9C" w:sz="4"/>
                          <w:left w:val="single" w:color="1ABC9C" w:sz="4"/>
                          <w:bottom w:val="single" w:color="1ABC9C" w:sz="4"/>
                          <w:right w:val="single" w:color="1ABC9C" w:sz="4"/>
                        </w:tcBorders>
                        <w:shd w:fill="E8F8F5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555555"/>
                            <w:sz w:val="17"/>
                            <w:szCs w:val="17"/>
                          </w:rPr>
                          <w:t xml:space="preserve">• Loan application intake</w:t>
                        </w:r>
                      </w:p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555555"/>
                            <w:sz w:val="17"/>
                            <w:szCs w:val="17"/>
                          </w:rPr>
                          <w:t xml:space="preserve">• EMI calculation engine</w:t>
                        </w:r>
                      </w:p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555555"/>
                            <w:sz w:val="17"/>
                            <w:szCs w:val="17"/>
                          </w:rPr>
                          <w:t xml:space="preserve">• Credit Bureau API calls</w:t>
                        </w:r>
                      </w:p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555555"/>
                            <w:sz w:val="17"/>
                            <w:szCs w:val="17"/>
                          </w:rPr>
                          <w:t xml:space="preserve">• Loan lifecycle management</w:t>
                        </w:r>
                      </w:p>
                    </w:tc>
                  </w:tr>
                </w:tbl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9FA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200"/>
                  <w:tcBorders>
                    <w:top w:val="single" w:color="6C3483" w:sz="12"/>
                    <w:left w:val="single" w:color="6C3483" w:sz="12"/>
                    <w:bottom w:val="single" w:color="6C3483" w:sz="12"/>
                    <w:right w:val="single" w:color="6C3483" w:sz="12"/>
                  </w:tcBorders>
                  <w:shd w:fill="E8DAE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40" w:after="2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32"/>
                      <w:szCs w:val="32"/>
                    </w:rPr>
                    <w:t xml:space="preserve">🧾</w:t>
                  </w:r>
                </w:p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6C3483"/>
                      <w:sz w:val="22"/>
                      <w:szCs w:val="22"/>
                    </w:rPr>
                    <w:t xml:space="preserve">onboarding-service</w:t>
                  </w:r>
                </w:p>
                <w:p>
                  <w:pPr>
                    <w:spacing w:before="0" w:after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Port: 3002</w:t>
                  </w:r>
                </w:p>
                <w:tbl>
                  <w:tblPr>
                    <w:tblW w:type="dxa" w:w="2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0"/>
                  </w:tblGrid>
                  <w:tr>
                    <w:tc>
                      <w:tcPr>
                        <w:tcW w:type="dxa" w:w="2800"/>
                        <w:tcBorders>
                          <w:top w:val="single" w:color="8E44AD" w:sz="4"/>
                          <w:left w:val="single" w:color="8E44AD" w:sz="4"/>
                          <w:bottom w:val="single" w:color="8E44AD" w:sz="4"/>
                          <w:right w:val="single" w:color="8E44AD" w:sz="4"/>
                        </w:tcBorders>
                        <w:shd w:fill="F5EEF8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555555"/>
                            <w:sz w:val="17"/>
                            <w:szCs w:val="17"/>
                          </w:rPr>
                          <w:t xml:space="preserve">• KYC document validation</w:t>
                        </w:r>
                      </w:p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555555"/>
                            <w:sz w:val="17"/>
                            <w:szCs w:val="17"/>
                          </w:rPr>
                          <w:t xml:space="preserve">• AML &amp; sanctions screening</w:t>
                        </w:r>
                      </w:p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555555"/>
                            <w:sz w:val="17"/>
                            <w:szCs w:val="17"/>
                          </w:rPr>
                          <w:t xml:space="preserve">• Account creation &amp; RBAC</w:t>
                        </w:r>
                      </w:p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555555"/>
                            <w:sz w:val="17"/>
                            <w:szCs w:val="17"/>
                          </w:rPr>
                          <w:t xml:space="preserve">• Welcome notifications</w:t>
                        </w:r>
                      </w:p>
                    </w:tc>
                  </w:tr>
                </w:tbl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W w:type="dxa" w:w="10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800"/>
            </w:tblGrid>
            <w:tr>
              <w:tc>
                <w:tcPr>
                  <w:tcW w:type="dxa" w:w="9800"/>
                  <w:tcBorders>
                    <w:top w:val="single" w:color="3A7D9E" w:sz="8"/>
                    <w:left w:val="single" w:color="3A7D9E" w:sz="8"/>
                    <w:bottom w:val="single" w:color="3A7D9E" w:sz="8"/>
                    <w:right w:val="single" w:color="3A7D9E" w:sz="8"/>
                  </w:tcBorders>
                  <w:shd w:fill="1A3A5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  <w:vAlign w:val="center"/>
                </w:tcPr>
                <w:p>
                  <w:pPr>
                    <w:spacing w:before="6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🗄  SHARED INTERNAL SERVICES</w:t>
                  </w:r>
                </w:p>
                <w:tbl>
                  <w:tblPr>
                    <w:tblW w:type="dxa" w:w="94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00"/>
                    <w:gridCol w:w="200"/>
                    <w:gridCol w:w="3000"/>
                    <w:gridCol w:w="200"/>
                    <w:gridCol w:w="3000"/>
                  </w:tblGrid>
                  <w:tr>
                    <w:tc>
                      <w:tcPr>
                        <w:tcW w:type="dxa" w:w="3000"/>
                        <w:tcBorders>
                          <w:top w:val="single" w:color="5DADE2" w:sz="6"/>
                          <w:left w:val="single" w:color="5DADE2" w:sz="6"/>
                          <w:bottom w:val="single" w:color="5DADE2" w:sz="6"/>
                          <w:right w:val="single" w:color="5DADE2" w:sz="6"/>
                        </w:tcBorders>
                        <w:shd w:fill="1A2E4A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before="40" w:after="2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5DADE2"/>
                            <w:sz w:val="20"/>
                            <w:szCs w:val="20"/>
                          </w:rPr>
                          <w:t xml:space="preserve">PostgreSQL Database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CCDDFF"/>
                            <w:sz w:val="17"/>
                            <w:szCs w:val="17"/>
                          </w:rPr>
                          <w:t xml:space="preserve">Persistent data store
for all services</w:t>
                        </w:r>
                      </w:p>
                    </w:tc>
                    <w:tc>
                      <w:tcPr>
                        <w:tcW w:type="dxa" w:w="2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3A55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222222"/>
                            <w:sz w:val="20"/>
                            <w:szCs w:val="20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0"/>
                        <w:tcBorders>
                          <w:top w:val="single" w:color="F0B27A" w:sz="6"/>
                          <w:left w:val="single" w:color="F0B27A" w:sz="6"/>
                          <w:bottom w:val="single" w:color="F0B27A" w:sz="6"/>
                          <w:right w:val="single" w:color="F0B27A" w:sz="6"/>
                        </w:tcBorders>
                        <w:shd w:fill="1A2E4A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before="40" w:after="2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F0B27A"/>
                            <w:sz w:val="20"/>
                            <w:szCs w:val="20"/>
                          </w:rPr>
                          <w:t xml:space="preserve">Redis Cache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CCDDFF"/>
                            <w:sz w:val="17"/>
                            <w:szCs w:val="17"/>
                          </w:rPr>
                          <w:t xml:space="preserve">Session tokens
&amp; temp KYC state</w:t>
                        </w:r>
                      </w:p>
                    </w:tc>
                    <w:tc>
                      <w:tcPr>
                        <w:tcW w:type="dxa" w:w="2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3A55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color w:val="222222"/>
                            <w:sz w:val="20"/>
                            <w:szCs w:val="20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0"/>
                        <w:tcBorders>
                          <w:top w:val="single" w:color="82E0AA" w:sz="6"/>
                          <w:left w:val="single" w:color="82E0AA" w:sz="6"/>
                          <w:bottom w:val="single" w:color="82E0AA" w:sz="6"/>
                          <w:right w:val="single" w:color="82E0AA" w:sz="6"/>
                        </w:tcBorders>
                        <w:shd w:fill="1A2E4A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center"/>
                      </w:tcPr>
                      <w:p>
                        <w:pPr>
                          <w:spacing w:before="40" w:after="2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color w:val="82E0AA"/>
                            <w:sz w:val="20"/>
                            <w:szCs w:val="20"/>
                          </w:rPr>
                          <w:t xml:space="preserve">Kafka Message Bus</w:t>
                        </w:r>
                      </w:p>
                      <w:p>
                        <w:pPr>
                          <w:spacing w:before="0" w:after="4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/>
                            <w:iCs/>
                            <w:color w:val="CCDDFF"/>
                            <w:sz w:val="17"/>
                            <w:szCs w:val="17"/>
                          </w:rPr>
                          <w:t xml:space="preserve">Async event stream
between microservices</w:t>
                        </w:r>
                      </w:p>
                    </w:tc>
                  </w:tr>
                </w:tbl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2222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Network Segmentation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0"/>
        <w:gridCol w:w="4220"/>
      </w:tblGrid>
      <w:t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42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Services</w:t>
            </w:r>
          </w:p>
        </w:tc>
        <w:tc>
          <w:tcPr>
            <w:tcW w:type="dxa" w:w="42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&amp; Exposure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🌐  Public
Network</w:t>
            </w:r>
          </w:p>
        </w:tc>
        <w:tc>
          <w:tcPr>
            <w:tcW w:type="dxa" w:w="4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API Gateway (NGINX / Kong)  ·  Port 443, 80</w:t>
            </w:r>
          </w:p>
        </w:tc>
        <w:tc>
          <w:tcPr>
            <w:tcW w:type="dxa" w:w="4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Exposed to internet. Handles SSL termination, auth token validation, rate limiting, and routes to internal services via reverse proxy.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🔒  Internal
Network</w:t>
            </w:r>
          </w:p>
        </w:tc>
        <w:tc>
          <w:tcPr>
            <w:tcW w:type="dxa" w:w="4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auth-service  ·  Port 3000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19"/>
                <w:szCs w:val="19"/>
              </w:rPr>
              <w:t xml:space="preserve">loan-service  ·  Port 3001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onboarding-service  ·  Port 3002</w:t>
            </w:r>
          </w:p>
        </w:tc>
        <w:tc>
          <w:tcPr>
            <w:tcW w:type="dxa" w:w="4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Not publicly accessible. Services communicate only via the API Gateway or internal Kafka event bus. All inter-service calls stay within the private VPC/network namespace.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Security Best Practices &amp; Compliance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7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Image Signing</w:t>
            </w:r>
          </w:p>
        </w:tc>
        <w:tc>
          <w:tcPr>
            <w:tcW w:type="dxa" w:w="7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All container images are signed using Docker Content Trust (DCT) before being pushed to IBM Cloud Container Registry / AWS ECR, ensuring image integrity and preventing tampered images from running.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Role-Based Access
(RBAC)</w:t>
            </w:r>
          </w:p>
        </w:tc>
        <w:tc>
          <w:tcPr>
            <w:tcW w:type="dxa" w:w="7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Each microservice runs as a non-root user with least-privilege permissions. Kubernetes RBAC policies restrict which pods can access secrets, config maps, and inter-service APIs.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Vulnerability Scanning</w:t>
            </w:r>
          </w:p>
        </w:tc>
        <w:tc>
          <w:tcPr>
            <w:tcW w:type="dxa" w:w="7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IBM Cloud Container Registry and AWS ECR are configured to automatically scan all pushed images for CVEs using built-in vulnerability advisors (Trivy / Clair). Builds with critical CVEs are blocked.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Network Policies</w:t>
            </w:r>
          </w:p>
        </w:tc>
        <w:tc>
          <w:tcPr>
            <w:tcW w:type="dxa" w:w="7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Kubernetes NetworkPolicy objects enforce that only the API Gateway can reach internal services. auth-service, loan-service, and onboarding-service cannot be reached directly from outside the cluster.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7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 secrets or API keys are embedded in Dockerfiles or environment variables. All secrets are injected at runtime via Kubernetes Secrets or IBM Secrets Manager / AWS Secrets Manager.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Compliance Standards</w:t>
            </w:r>
          </w:p>
        </w:tc>
        <w:tc>
          <w:tcPr>
            <w:tcW w:type="dxa" w:w="76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Architecture is aligned with PCI-DSS (cardholder data isolation), GDPR (data residency in approved regions), AML (audit logging on all transactions), and KYC (identity verification step in onboarding-service).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Validation Checklist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40"/>
        <w:gridCol w:w="1200"/>
        <w:gridCol w:w="2000"/>
      </w:tblGrid>
      <w:tr>
        <w:tc>
          <w:tcPr>
            <w:tcW w:type="dxa" w:w="7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Validation Item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Three microservices defined: auth-service, loan-service, onboarding-service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✔  Yes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All containers specified with ports and responsibilities</w:t>
            </w:r>
          </w:p>
        </w:tc>
      </w:tr>
      <w:tr>
        <w:tc>
          <w:tcPr>
            <w:tcW w:type="dxa" w:w="7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API Gateway included and connected to all three services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✔  Yes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Routes /auth, /loans, /onboard namespaces</w:t>
            </w:r>
          </w:p>
        </w:tc>
      </w:tr>
      <w:tr>
        <w:tc>
          <w:tcPr>
            <w:tcW w:type="dxa" w:w="7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Public network zone clearly separated from internal network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✔  Yes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Dashed blue = public, solid green = internal</w:t>
            </w:r>
          </w:p>
        </w:tc>
      </w:tr>
      <w:tr>
        <w:tc>
          <w:tcPr>
            <w:tcW w:type="dxa" w:w="7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Container registry shown with image-pull arrows to services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✔  Yes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IBM Cloud CR / AWS ECR with three image repos</w:t>
            </w:r>
          </w:p>
        </w:tc>
      </w:tr>
      <w:tr>
        <w:tc>
          <w:tcPr>
            <w:tcW w:type="dxa" w:w="7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Security best practices documented (signing, RBAC, scanning)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✔  Yes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Six security controls defined</w:t>
            </w:r>
          </w:p>
        </w:tc>
      </w:tr>
      <w:tr>
        <w:tc>
          <w:tcPr>
            <w:tcW w:type="dxa" w:w="7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Shared internal services layer included (DB, Cache, Messaging)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✔  Yes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PostgreSQL, Redis, Kafka</w:t>
            </w:r>
          </w:p>
        </w:tc>
      </w:tr>
      <w:tr>
        <w:tc>
          <w:tcPr>
            <w:tcW w:type="dxa" w:w="7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Regulatory compliance alignment noted (PCI-DSS, GDPR, AML, KYC)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✔  Yes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Mapped to onboarding and data isolation controls</w:t>
            </w:r>
          </w:p>
        </w:tc>
      </w:tr>
      <w:tr>
        <w:tc>
          <w:tcPr>
            <w:tcW w:type="dxa" w:w="7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Diagram saved / exportable as container_topology_diagram.pdf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✔  Yes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Use Lucidchart / Draw.io to render full visual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Core Digital Transformation for Retail Banking  |  Container Topology Diagram  |  Confidential  |  v1.0  |  February 18, 2026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2026-02-18T05:46:58.147Z</dcterms:created>
  <dcterms:modified xsi:type="dcterms:W3CDTF">2026-02-18T05:46:58.148Z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