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1F4E79" w:sz="2"/>
              <w:left w:val="single" w:color="1F4E79" w:sz="2"/>
              <w:bottom w:val="single" w:color="1F4E79" w:sz="2"/>
              <w:right w:val="single" w:color="1F4E79" w:sz="2"/>
            </w:tcBorders>
            <w:shd w:fill="1F4E79" w:val="clear"/>
            <w:tcMar>
              <w:top w:type="dxa" w:w="0"/>
              <w:left w:type="dxa" w:w="0"/>
              <w:bottom w:type="dxa" w:w="0"/>
              <w:right w:type="dxa" w:w="0"/>
            </w:tcMar>
            <w:vAlign w:val="top"/>
          </w:tcPr>
          <w:p>
            <w:pPr>
              <w:spacing w:before="0" w:after="200"/>
            </w:pPr>
          </w:p>
          <w:p>
            <w:pPr>
              <w:spacing w:before="0" w:after="100"/>
              <w:jc w:val="center"/>
            </w:pPr>
            <w:r>
              <w:rPr>
                <w:rFonts w:ascii="Calibri" w:cs="Calibri" w:eastAsia="Calibri" w:hAnsi="Calibri"/>
                <w:b/>
                <w:bCs/>
                <w:i w:val="false"/>
                <w:iCs w:val="false"/>
                <w:color w:val="FFFFFF"/>
                <w:sz w:val="40"/>
                <w:szCs w:val="40"/>
              </w:rPr>
              <w:t xml:space="preserve">Core Digital Transformation for Retail Banking</w:t>
            </w:r>
          </w:p>
          <w:p>
            <w:pPr>
              <w:spacing w:before="0" w:after="100"/>
              <w:jc w:val="center"/>
            </w:pPr>
            <w:r>
              <w:rPr>
                <w:rFonts w:ascii="Calibri" w:cs="Calibri" w:eastAsia="Calibri" w:hAnsi="Calibri"/>
                <w:b w:val="false"/>
                <w:bCs w:val="false"/>
                <w:i/>
                <w:iCs/>
                <w:color w:val="AACCEE"/>
                <w:sz w:val="24"/>
                <w:szCs w:val="24"/>
              </w:rPr>
              <w:t xml:space="preserve">Key Findings  ·  Key Recommendations  ·  Conclusion</w:t>
            </w:r>
          </w:p>
          <w:p>
            <w:pPr>
              <w:spacing w:before="0" w:after="0"/>
              <w:jc w:val="center"/>
            </w:pPr>
            <w:r>
              <w:rPr>
                <w:rFonts w:ascii="Calibri" w:cs="Calibri" w:eastAsia="Calibri" w:hAnsi="Calibri"/>
                <w:b w:val="false"/>
                <w:bCs w:val="false"/>
                <w:i w:val="false"/>
                <w:iCs w:val="false"/>
                <w:color w:val="88AACC"/>
                <w:sz w:val="19"/>
                <w:szCs w:val="19"/>
              </w:rPr>
              <w:t xml:space="preserve">ABC Bank  ·  February 18, 2026  ·  Version 1.0</w:t>
            </w:r>
          </w:p>
          <w:p>
            <w:pPr>
              <w:spacing w:before="0" w:after="200"/>
            </w:pPr>
          </w:p>
        </w:tc>
      </w:tr>
    </w:tbl>
    <w:p>
      <w:pPr>
        <w:spacing w:before="0" w:after="400"/>
      </w:pPr>
    </w:p>
    <w:p>
      <w:pPr>
        <w:spacing w:before="0" w:after="80"/>
        <w:jc w:val="right"/>
      </w:pPr>
      <w:r>
        <w:rPr>
          <w:b/>
          <w:bCs/>
          <w:color w:val="1F4E79"/>
          <w:sz w:val="18"/>
          <w:szCs w:val="18"/>
        </w:rPr>
        <w:t xml:space="preserve">● ● ● ● ●</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before="0" w:after="0"/>
              <w:jc w:val="left"/>
            </w:pPr>
            <w:r>
              <w:rPr>
                <w:rFonts w:ascii="Calibri" w:cs="Calibri" w:eastAsia="Calibri" w:hAnsi="Calibri"/>
                <w:b/>
                <w:bCs/>
                <w:i w:val="false"/>
                <w:iCs w:val="false"/>
                <w:color w:val="1F4E79"/>
                <w:sz w:val="38"/>
                <w:szCs w:val="38"/>
              </w:rPr>
              <w:t xml:space="preserve">Key findings</w:t>
            </w:r>
          </w:p>
          <w:p>
            <w:pPr>
              <w:pBdr>
                <w:bottom w:val="single" w:color="2E75B6" w:sz="8"/>
              </w:pBdr>
              <w:spacing w:before="60" w:after="100"/>
            </w:pPr>
          </w:p>
        </w:tc>
      </w:tr>
    </w:tbl>
    <w:p>
      <w:pPr>
        <w:spacing w:before="0" w:after="1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7280"/>
      </w:tblGrid>
      <w:tr>
        <w:tc>
          <w:tcPr>
            <w:tcW w:type="dxa" w:w="560"/>
            <w:tcBorders>
              <w:top w:val="single" w:color="1F4E79" w:sz="2"/>
              <w:left w:val="single" w:color="1F4E79" w:sz="2"/>
              <w:bottom w:val="single" w:color="1F4E79" w:sz="2"/>
              <w:right w:val="single" w:color="1F4E79" w:sz="2"/>
            </w:tcBorders>
            <w:shd w:fill="1F4E79" w:val="clear"/>
            <w:tcMar>
              <w:top w:type="dxa" w:w="160"/>
              <w:left w:type="dxa" w:w="0"/>
              <w:bottom w:type="dxa" w:w="160"/>
              <w:right w:type="dxa" w:w="0"/>
            </w:tcMar>
            <w:vAlign w:val="center"/>
          </w:tcPr>
          <w:p>
            <w:pPr>
              <w:spacing w:before="0" w:after="80"/>
              <w:jc w:val="center"/>
            </w:pPr>
            <w:r>
              <w:rPr>
                <w:rFonts w:ascii="Calibri" w:cs="Calibri" w:eastAsia="Calibri" w:hAnsi="Calibri"/>
                <w:b/>
                <w:bCs/>
                <w:i w:val="false"/>
                <w:iCs w:val="false"/>
                <w:color w:val="FFFFFF"/>
                <w:sz w:val="32"/>
                <w:szCs w:val="32"/>
              </w:rPr>
              <w:t xml:space="preserve">1</w:t>
            </w:r>
          </w:p>
        </w:tc>
        <w:tc>
          <w:tcPr>
            <w:tcW w:type="dxa" w:w="2600"/>
            <w:tcBorders>
              <w:top w:val="single" w:color="E2EFDA" w:sz="2"/>
              <w:left w:val="single" w:color="E2EFDA" w:sz="2"/>
              <w:bottom w:val="single" w:color="E2EFDA" w:sz="2"/>
              <w:right w:val="single" w:color="E2EFDA" w:sz="2"/>
            </w:tcBorders>
            <w:shd w:fill="E2EFDA" w:val="clear"/>
            <w:tcMar>
              <w:top w:type="dxa" w:w="120"/>
              <w:left w:type="dxa" w:w="120"/>
              <w:bottom w:type="dxa" w:w="120"/>
              <w:right w:type="dxa" w:w="120"/>
            </w:tcMar>
            <w:vAlign w:val="center"/>
          </w:tcPr>
          <w:p>
            <w:pPr>
              <w:spacing w:before="0" w:after="20"/>
              <w:jc w:val="center"/>
            </w:pPr>
            <w:r>
              <w:rPr>
                <w:rFonts w:ascii="Calibri" w:cs="Calibri" w:eastAsia="Calibri" w:hAnsi="Calibri"/>
                <w:b/>
                <w:bCs/>
                <w:i w:val="false"/>
                <w:iCs w:val="false"/>
                <w:color w:val="1E7145"/>
                <w:sz w:val="36"/>
                <w:szCs w:val="36"/>
              </w:rPr>
              <w:t xml:space="preserve">86%</w:t>
            </w:r>
          </w:p>
          <w:p>
            <w:pPr>
              <w:spacing w:before="0" w:after="0"/>
              <w:jc w:val="center"/>
            </w:pPr>
            <w:r>
              <w:rPr>
                <w:rFonts w:ascii="Calibri" w:cs="Calibri" w:eastAsia="Calibri" w:hAnsi="Calibri"/>
                <w:b w:val="false"/>
                <w:bCs w:val="false"/>
                <w:i/>
                <w:iCs/>
                <w:color w:val="595959"/>
                <w:sz w:val="16"/>
                <w:szCs w:val="16"/>
              </w:rPr>
              <w:t xml:space="preserve">key metric</w:t>
            </w:r>
          </w:p>
        </w:tc>
        <w:tc>
          <w:tcPr>
            <w:tcW w:type="dxa" w:w="7280"/>
            <w:tcBorders>
              <w:top w:val="none" w:color="FFFFFF" w:sz="0"/>
              <w:left w:val="single" w:color="2E75B6" w:sz="4"/>
              <w:bottom w:val="none" w:color="FFFFFF" w:sz="0"/>
              <w:right w:val="none" w:color="FFFFFF" w:sz="0"/>
            </w:tcBorders>
            <w:shd w:fill="F7FAFF" w:val="clear"/>
            <w:tcMar>
              <w:top w:type="dxa" w:w="120"/>
              <w:left w:type="dxa" w:w="200"/>
              <w:bottom w:type="dxa" w:w="120"/>
              <w:right w:type="dxa" w:w="160"/>
            </w:tcMar>
            <w:vAlign w:val="center"/>
          </w:tcPr>
          <w:p>
            <w:pPr>
              <w:spacing w:before="0" w:after="60"/>
              <w:jc w:val="left"/>
            </w:pPr>
            <w:r>
              <w:rPr>
                <w:rFonts w:ascii="Calibri" w:cs="Calibri" w:eastAsia="Calibri" w:hAnsi="Calibri"/>
                <w:b/>
                <w:bCs/>
                <w:i w:val="false"/>
                <w:iCs w:val="false"/>
                <w:color w:val="1F4E79"/>
                <w:sz w:val="22"/>
                <w:szCs w:val="22"/>
              </w:rPr>
              <w:t xml:space="preserve">6 of 7 PoC success criteria fully met — Conditional Go approved</w:t>
            </w:r>
          </w:p>
          <w:p>
            <w:pPr>
              <w:spacing w:before="0" w:after="0"/>
              <w:jc w:val="left"/>
            </w:pPr>
            <w:r>
              <w:rPr>
                <w:rFonts w:ascii="Calibri" w:cs="Calibri" w:eastAsia="Calibri" w:hAnsi="Calibri"/>
                <w:b w:val="false"/>
                <w:bCs w:val="false"/>
                <w:i w:val="false"/>
                <w:iCs w:val="false"/>
                <w:color w:val="595959"/>
                <w:sz w:val="19"/>
                <w:szCs w:val="19"/>
              </w:rPr>
              <w:t xml:space="preserve">The Proof of Concept confirmed that the core microservice architecture, Kafka event pipeline, and PostgreSQL integration are all viable for production. Only one criterion — cloud object storage synchronisation — was partially tested and deferred. A Conditional Go decision was issued, with three prerequisite actions required before staging promotion.</w:t>
            </w:r>
          </w:p>
        </w:tc>
      </w:tr>
    </w:tbl>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7280"/>
      </w:tblGrid>
      <w:tr>
        <w:tc>
          <w:tcPr>
            <w:tcW w:type="dxa" w:w="560"/>
            <w:tcBorders>
              <w:top w:val="single" w:color="1F4E79" w:sz="2"/>
              <w:left w:val="single" w:color="1F4E79" w:sz="2"/>
              <w:bottom w:val="single" w:color="1F4E79" w:sz="2"/>
              <w:right w:val="single" w:color="1F4E79" w:sz="2"/>
            </w:tcBorders>
            <w:shd w:fill="1F4E79" w:val="clear"/>
            <w:tcMar>
              <w:top w:type="dxa" w:w="160"/>
              <w:left w:type="dxa" w:w="0"/>
              <w:bottom w:type="dxa" w:w="160"/>
              <w:right w:type="dxa" w:w="0"/>
            </w:tcMar>
            <w:vAlign w:val="center"/>
          </w:tcPr>
          <w:p>
            <w:pPr>
              <w:spacing w:before="0" w:after="80"/>
              <w:jc w:val="center"/>
            </w:pPr>
            <w:r>
              <w:rPr>
                <w:rFonts w:ascii="Calibri" w:cs="Calibri" w:eastAsia="Calibri" w:hAnsi="Calibri"/>
                <w:b/>
                <w:bCs/>
                <w:i w:val="false"/>
                <w:iCs w:val="false"/>
                <w:color w:val="FFFFFF"/>
                <w:sz w:val="32"/>
                <w:szCs w:val="32"/>
              </w:rPr>
              <w:t xml:space="preserve">2</w:t>
            </w:r>
          </w:p>
        </w:tc>
        <w:tc>
          <w:tcPr>
            <w:tcW w:type="dxa" w:w="2600"/>
            <w:tcBorders>
              <w:top w:val="single" w:color="FCE4D6" w:sz="2"/>
              <w:left w:val="single" w:color="FCE4D6" w:sz="2"/>
              <w:bottom w:val="single" w:color="FCE4D6" w:sz="2"/>
              <w:right w:val="single" w:color="FCE4D6" w:sz="2"/>
            </w:tcBorders>
            <w:shd w:fill="FCE4D6" w:val="clear"/>
            <w:tcMar>
              <w:top w:type="dxa" w:w="120"/>
              <w:left w:type="dxa" w:w="120"/>
              <w:bottom w:type="dxa" w:w="120"/>
              <w:right w:type="dxa" w:w="120"/>
            </w:tcMar>
            <w:vAlign w:val="center"/>
          </w:tcPr>
          <w:p>
            <w:pPr>
              <w:spacing w:before="0" w:after="20"/>
              <w:jc w:val="center"/>
            </w:pPr>
            <w:r>
              <w:rPr>
                <w:rFonts w:ascii="Calibri" w:cs="Calibri" w:eastAsia="Calibri" w:hAnsi="Calibri"/>
                <w:b/>
                <w:bCs/>
                <w:i w:val="false"/>
                <w:iCs w:val="false"/>
                <w:color w:val="C55A11"/>
                <w:sz w:val="36"/>
                <w:szCs w:val="36"/>
              </w:rPr>
              <w:t xml:space="preserve">2 Gaps</w:t>
            </w:r>
          </w:p>
          <w:p>
            <w:pPr>
              <w:spacing w:before="0" w:after="0"/>
              <w:jc w:val="center"/>
            </w:pPr>
            <w:r>
              <w:rPr>
                <w:rFonts w:ascii="Calibri" w:cs="Calibri" w:eastAsia="Calibri" w:hAnsi="Calibri"/>
                <w:b w:val="false"/>
                <w:bCs w:val="false"/>
                <w:i/>
                <w:iCs/>
                <w:color w:val="595959"/>
                <w:sz w:val="16"/>
                <w:szCs w:val="16"/>
              </w:rPr>
              <w:t xml:space="preserve">key metric</w:t>
            </w:r>
          </w:p>
        </w:tc>
        <w:tc>
          <w:tcPr>
            <w:tcW w:type="dxa" w:w="7280"/>
            <w:tcBorders>
              <w:top w:val="none" w:color="FFFFFF" w:sz="0"/>
              <w:left w:val="single" w:color="2E75B6" w:sz="4"/>
              <w:bottom w:val="none" w:color="FFFFFF" w:sz="0"/>
              <w:right w:val="none" w:color="FFFFFF" w:sz="0"/>
            </w:tcBorders>
            <w:shd w:fill="F7FAFF" w:val="clear"/>
            <w:tcMar>
              <w:top w:type="dxa" w:w="120"/>
              <w:left w:type="dxa" w:w="200"/>
              <w:bottom w:type="dxa" w:w="120"/>
              <w:right w:type="dxa" w:w="160"/>
            </w:tcMar>
            <w:vAlign w:val="center"/>
          </w:tcPr>
          <w:p>
            <w:pPr>
              <w:spacing w:before="0" w:after="60"/>
              <w:jc w:val="left"/>
            </w:pPr>
            <w:r>
              <w:rPr>
                <w:rFonts w:ascii="Calibri" w:cs="Calibri" w:eastAsia="Calibri" w:hAnsi="Calibri"/>
                <w:b/>
                <w:bCs/>
                <w:i w:val="false"/>
                <w:iCs w:val="false"/>
                <w:color w:val="1F4E79"/>
                <w:sz w:val="22"/>
                <w:szCs w:val="22"/>
              </w:rPr>
              <w:t xml:space="preserve">2 of 7 RTM requirements had zero test coverage — critical gaps confirmed</w:t>
            </w:r>
          </w:p>
          <w:p>
            <w:pPr>
              <w:spacing w:before="0" w:after="0"/>
              <w:jc w:val="left"/>
            </w:pPr>
            <w:r>
              <w:rPr>
                <w:rFonts w:ascii="Calibri" w:cs="Calibri" w:eastAsia="Calibri" w:hAnsi="Calibri"/>
                <w:b w:val="false"/>
                <w:bCs w:val="false"/>
                <w:i w:val="false"/>
                <w:iCs w:val="false"/>
                <w:color w:val="595959"/>
                <w:sz w:val="19"/>
                <w:szCs w:val="19"/>
              </w:rPr>
              <w:t xml:space="preserve">The Requirements Traceability Matrix review revealed that RQ-04 (fraud detection boundary at ₹1,00,000 threshold) and RQ-05 (Kafka consumer validation with 500ms SLA) had no test cases at all. Eight test plan issues were annotated, including missing MFA failure tests and absent AML escalation scenarios, demonstrating that the original test plan significantly underestimated negative and edge-case coverage needs.</w:t>
            </w:r>
          </w:p>
        </w:tc>
      </w:tr>
    </w:tbl>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7280"/>
      </w:tblGrid>
      <w:tr>
        <w:tc>
          <w:tcPr>
            <w:tcW w:type="dxa" w:w="560"/>
            <w:tcBorders>
              <w:top w:val="single" w:color="1F4E79" w:sz="2"/>
              <w:left w:val="single" w:color="1F4E79" w:sz="2"/>
              <w:bottom w:val="single" w:color="1F4E79" w:sz="2"/>
              <w:right w:val="single" w:color="1F4E79" w:sz="2"/>
            </w:tcBorders>
            <w:shd w:fill="1F4E79" w:val="clear"/>
            <w:tcMar>
              <w:top w:type="dxa" w:w="160"/>
              <w:left w:type="dxa" w:w="0"/>
              <w:bottom w:type="dxa" w:w="160"/>
              <w:right w:type="dxa" w:w="0"/>
            </w:tcMar>
            <w:vAlign w:val="center"/>
          </w:tcPr>
          <w:p>
            <w:pPr>
              <w:spacing w:before="0" w:after="80"/>
              <w:jc w:val="center"/>
            </w:pPr>
            <w:r>
              <w:rPr>
                <w:rFonts w:ascii="Calibri" w:cs="Calibri" w:eastAsia="Calibri" w:hAnsi="Calibri"/>
                <w:b/>
                <w:bCs/>
                <w:i w:val="false"/>
                <w:iCs w:val="false"/>
                <w:color w:val="FFFFFF"/>
                <w:sz w:val="32"/>
                <w:szCs w:val="32"/>
              </w:rPr>
              <w:t xml:space="preserve">3</w:t>
            </w:r>
          </w:p>
        </w:tc>
        <w:tc>
          <w:tcPr>
            <w:tcW w:type="dxa" w:w="2600"/>
            <w:tcBorders>
              <w:top w:val="single" w:color="D6E4F7" w:sz="2"/>
              <w:left w:val="single" w:color="D6E4F7" w:sz="2"/>
              <w:bottom w:val="single" w:color="D6E4F7" w:sz="2"/>
              <w:right w:val="single" w:color="D6E4F7" w:sz="2"/>
            </w:tcBorders>
            <w:shd w:fill="D6E4F7" w:val="clear"/>
            <w:tcMar>
              <w:top w:type="dxa" w:w="120"/>
              <w:left w:type="dxa" w:w="120"/>
              <w:bottom w:type="dxa" w:w="120"/>
              <w:right w:type="dxa" w:w="120"/>
            </w:tcMar>
            <w:vAlign w:val="center"/>
          </w:tcPr>
          <w:p>
            <w:pPr>
              <w:spacing w:before="0" w:after="20"/>
              <w:jc w:val="center"/>
            </w:pPr>
            <w:r>
              <w:rPr>
                <w:rFonts w:ascii="Calibri" w:cs="Calibri" w:eastAsia="Calibri" w:hAnsi="Calibri"/>
                <w:b/>
                <w:bCs/>
                <w:i w:val="false"/>
                <w:iCs w:val="false"/>
                <w:color w:val="2E75B6"/>
                <w:sz w:val="36"/>
                <w:szCs w:val="36"/>
              </w:rPr>
              <w:t xml:space="preserve">99.9%</w:t>
            </w:r>
          </w:p>
          <w:p>
            <w:pPr>
              <w:spacing w:before="0" w:after="0"/>
              <w:jc w:val="center"/>
            </w:pPr>
            <w:r>
              <w:rPr>
                <w:rFonts w:ascii="Calibri" w:cs="Calibri" w:eastAsia="Calibri" w:hAnsi="Calibri"/>
                <w:b w:val="false"/>
                <w:bCs w:val="false"/>
                <w:i/>
                <w:iCs/>
                <w:color w:val="595959"/>
                <w:sz w:val="16"/>
                <w:szCs w:val="16"/>
              </w:rPr>
              <w:t xml:space="preserve">key metric</w:t>
            </w:r>
          </w:p>
        </w:tc>
        <w:tc>
          <w:tcPr>
            <w:tcW w:type="dxa" w:w="7280"/>
            <w:tcBorders>
              <w:top w:val="none" w:color="FFFFFF" w:sz="0"/>
              <w:left w:val="single" w:color="2E75B6" w:sz="4"/>
              <w:bottom w:val="none" w:color="FFFFFF" w:sz="0"/>
              <w:right w:val="none" w:color="FFFFFF" w:sz="0"/>
            </w:tcBorders>
            <w:shd w:fill="F7FAFF" w:val="clear"/>
            <w:tcMar>
              <w:top w:type="dxa" w:w="120"/>
              <w:left w:type="dxa" w:w="200"/>
              <w:bottom w:type="dxa" w:w="120"/>
              <w:right w:type="dxa" w:w="160"/>
            </w:tcMar>
            <w:vAlign w:val="center"/>
          </w:tcPr>
          <w:p>
            <w:pPr>
              <w:spacing w:before="0" w:after="60"/>
              <w:jc w:val="left"/>
            </w:pPr>
            <w:r>
              <w:rPr>
                <w:rFonts w:ascii="Calibri" w:cs="Calibri" w:eastAsia="Calibri" w:hAnsi="Calibri"/>
                <w:b/>
                <w:bCs/>
                <w:i w:val="false"/>
                <w:iCs w:val="false"/>
                <w:color w:val="1F4E79"/>
                <w:sz w:val="22"/>
                <w:szCs w:val="22"/>
              </w:rPr>
              <w:t xml:space="preserve">9-stage DevSecOps CI/CD pipeline with RTO &lt; 1 hr and RPO &lt; 15 min established</w:t>
            </w:r>
          </w:p>
          <w:p>
            <w:pPr>
              <w:spacing w:before="0" w:after="0"/>
              <w:jc w:val="left"/>
            </w:pPr>
            <w:r>
              <w:rPr>
                <w:rFonts w:ascii="Calibri" w:cs="Calibri" w:eastAsia="Calibri" w:hAnsi="Calibri"/>
                <w:b w:val="false"/>
                <w:bCs w:val="false"/>
                <w:i w:val="false"/>
                <w:iCs w:val="false"/>
                <w:color w:val="595959"/>
                <w:sz w:val="19"/>
                <w:szCs w:val="19"/>
              </w:rPr>
              <w:t xml:space="preserve">A full 9-stage CI/CD pipeline (code commit → build → SAST security gate → automated testing → staging → approval gate → blue-green production deploy → rollback → audit logging) was designed and validated. Six KPIs were defined with alert thresholds, a 4-level escalation path, and a Tier-1 RTO target of under 1 hour and RPO of under 15 minutes for all critical banking services — meeting the 99.9% uptime SLA.</w:t>
            </w:r>
          </w:p>
        </w:tc>
      </w:tr>
    </w:tbl>
    <w:p>
      <w:pPr>
        <w:spacing w:before="0" w:after="200"/>
      </w:pPr>
    </w:p>
    <w:p>
      <w:pPr>
        <w:spacing w:before="0" w:after="60"/>
      </w:pPr>
      <w:r>
        <w:rPr>
          <w:rFonts w:ascii="Calibri" w:cs="Calibri" w:eastAsia="Calibri" w:hAnsi="Calibri"/>
          <w:b/>
          <w:bCs/>
          <w:color w:val="1F4E79"/>
          <w:sz w:val="18"/>
          <w:szCs w:val="18"/>
        </w:rPr>
        <w:t xml:space="preserve">● ● ● ● ●</w:t>
      </w:r>
    </w:p>
    <w:p>
      <w:r>
        <w:br w:type="page"/>
      </w:r>
    </w:p>
    <w:p>
      <w:pPr>
        <w:spacing w:before="0" w:after="80"/>
        <w:jc w:val="right"/>
      </w:pPr>
      <w:r>
        <w:rPr>
          <w:b/>
          <w:bCs/>
          <w:color w:val="1F4E79"/>
          <w:sz w:val="18"/>
          <w:szCs w:val="18"/>
        </w:rPr>
        <w:t xml:space="preserve">● ● ● ● ●</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before="0" w:after="0"/>
              <w:jc w:val="left"/>
            </w:pPr>
            <w:r>
              <w:rPr>
                <w:rFonts w:ascii="Calibri" w:cs="Calibri" w:eastAsia="Calibri" w:hAnsi="Calibri"/>
                <w:b/>
                <w:bCs/>
                <w:i w:val="false"/>
                <w:iCs w:val="false"/>
                <w:color w:val="1F4E79"/>
                <w:sz w:val="38"/>
                <w:szCs w:val="38"/>
              </w:rPr>
              <w:t xml:space="preserve">Key recommendations</w:t>
            </w:r>
          </w:p>
          <w:p>
            <w:pPr>
              <w:pBdr>
                <w:bottom w:val="single" w:color="2E75B6" w:sz="8"/>
              </w:pBdr>
              <w:spacing w:before="60" w:after="100"/>
            </w:pPr>
          </w:p>
        </w:tc>
      </w:tr>
    </w:tbl>
    <w:p>
      <w:pPr>
        <w:spacing w:before="0" w:after="14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1F4E79" w:sz="2"/>
              <w:left w:val="single" w:color="1F4E79" w:sz="2"/>
              <w:bottom w:val="single" w:color="1F4E79" w:sz="2"/>
              <w:right w:val="single" w:color="1F4E79" w:sz="2"/>
            </w:tcBorders>
            <w:shd w:fill="1F4E79" w:val="clear"/>
            <w:tcMar>
              <w:top w:type="dxa" w:w="100"/>
              <w:left w:type="dxa" w:w="0"/>
              <w:bottom w:type="dxa" w:w="0"/>
              <w:right w:type="dxa" w:w="0"/>
            </w:tcMar>
            <w:vAlign w:val="center"/>
          </w:tcPr>
          <w:p>
            <w:pPr>
              <w:spacing w:before="0" w:after="80"/>
              <w:jc w:val="center"/>
            </w:pPr>
            <w:r>
              <w:rPr>
                <w:rFonts w:ascii="Calibri" w:cs="Calibri" w:eastAsia="Calibri" w:hAnsi="Calibri"/>
                <w:b/>
                <w:bCs/>
                <w:i w:val="false"/>
                <w:iCs w:val="false"/>
                <w:color w:val="FFFFFF"/>
                <w:sz w:val="28"/>
                <w:szCs w:val="28"/>
              </w:rPr>
              <w:t xml:space="preserve">1</w:t>
            </w:r>
          </w:p>
        </w:tc>
        <w:tc>
          <w:tcPr>
            <w:tcW w:type="dxa" w:w="9880"/>
            <w:tcBorders>
              <w:top w:val="none" w:color="FFFFFF" w:sz="0"/>
              <w:left w:val="none" w:color="FFFFFF" w:sz="0"/>
              <w:bottom w:val="none" w:color="FFFFFF" w:sz="0"/>
              <w:right w:val="none" w:color="FFFFFF" w:sz="0"/>
            </w:tcBorders>
            <w:shd w:fill="FFFFFF" w:val="clear"/>
            <w:tcMar>
              <w:top w:type="dxa" w:w="100"/>
              <w:left w:type="dxa" w:w="160"/>
              <w:bottom w:type="dxa" w:w="0"/>
              <w:right w:type="dxa" w:w="0"/>
            </w:tcMar>
            <w:vAlign w:val="top"/>
          </w:tcPr>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800"/>
              <w:gridCol w:w="2900"/>
            </w:tblGrid>
            <w:tr>
              <w:tc>
                <w:tcPr>
                  <w:tcW w:type="dxa" w:w="6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before="0" w:after="0"/>
                    <w:jc w:val="left"/>
                  </w:pPr>
                  <w:r>
                    <w:rPr>
                      <w:rFonts w:ascii="Calibri" w:cs="Calibri" w:eastAsia="Calibri" w:hAnsi="Calibri"/>
                      <w:b/>
                      <w:bCs/>
                      <w:i w:val="false"/>
                      <w:iCs w:val="false"/>
                      <w:color w:val="1F4E79"/>
                      <w:sz w:val="22"/>
                      <w:szCs w:val="22"/>
                    </w:rPr>
                    <w:t xml:space="preserve">Close the two RTM coverage gaps before staging promotion</w:t>
                  </w:r>
                </w:p>
              </w:tc>
              <w:tc>
                <w:tcPr>
                  <w:tcW w:type="dxa" w:w="2900"/>
                  <w:tcBorders>
                    <w:top w:val="single" w:color="FCE4D6" w:sz="2"/>
                    <w:left w:val="single" w:color="FCE4D6" w:sz="2"/>
                    <w:bottom w:val="single" w:color="FCE4D6" w:sz="2"/>
                    <w:right w:val="single" w:color="FCE4D6" w:sz="2"/>
                  </w:tcBorders>
                  <w:shd w:fill="FCE4D6" w:val="clear"/>
                  <w:tcMar>
                    <w:top w:type="dxa" w:w="40"/>
                    <w:left w:type="dxa" w:w="80"/>
                    <w:bottom w:type="dxa" w:w="40"/>
                    <w:right w:type="dxa" w:w="80"/>
                  </w:tcMar>
                  <w:vAlign w:val="center"/>
                </w:tcPr>
                <w:p>
                  <w:pPr>
                    <w:spacing w:before="0" w:after="0"/>
                    <w:jc w:val="center"/>
                  </w:pPr>
                  <w:r>
                    <w:rPr>
                      <w:rFonts w:ascii="Calibri" w:cs="Calibri" w:eastAsia="Calibri" w:hAnsi="Calibri"/>
                      <w:b/>
                      <w:bCs/>
                      <w:i w:val="false"/>
                      <w:iCs w:val="false"/>
                      <w:color w:val="C55A11"/>
                      <w:sz w:val="18"/>
                      <w:szCs w:val="18"/>
                    </w:rPr>
                    <w:t xml:space="preserve">Impact: Critical</w:t>
                  </w:r>
                </w:p>
              </w:tc>
            </w:tr>
          </w:tbl>
          <w:p/>
        </w:tc>
      </w:tr>
      <w:tr>
        <w:tc>
          <w:tcPr>
            <w:tcW w:type="dxa" w:w="560"/>
            <w:tcBorders>
              <w:top w:val="single" w:color="1F4E79" w:sz="2"/>
              <w:left w:val="single" w:color="1F4E79" w:sz="2"/>
              <w:bottom w:val="single" w:color="1F4E79" w:sz="2"/>
              <w:right w:val="single" w:color="1F4E79" w:sz="2"/>
            </w:tcBorders>
            <w:shd w:fill="1F4E79" w:val="clear"/>
            <w:tcMar>
              <w:top w:type="dxa" w:w="0"/>
              <w:left w:type="dxa" w:w="0"/>
              <w:bottom w:type="dxa" w:w="100"/>
              <w:right w:type="dxa" w:w="0"/>
            </w:tcMar>
            <w:vAlign w:val="top"/>
          </w:tcPr>
          <w:p>
            <w:pPr>
              <w:spacing w:before="0" w:after="80"/>
              <w:jc w:val="left"/>
            </w:pPr>
            <w:r>
              <w:rPr>
                <w:rFonts w:ascii="Calibri" w:cs="Calibri" w:eastAsia="Calibri" w:hAnsi="Calibri"/>
                <w:b w:val="false"/>
                <w:bCs w:val="false"/>
                <w:i w:val="false"/>
                <w:iCs w:val="false"/>
                <w:color w:val="111111"/>
                <w:sz w:val="22"/>
                <w:szCs w:val="22"/>
              </w:rPr>
              <w:t xml:space="preserve"/>
            </w:r>
          </w:p>
        </w:tc>
        <w:tc>
          <w:tcPr>
            <w:tcW w:type="dxa" w:w="9880"/>
            <w:tcBorders>
              <w:top w:val="single" w:color="DDDDDD" w:sz="2"/>
              <w:left w:val="none" w:color="FFFFFF" w:sz="0"/>
              <w:bottom w:val="none" w:color="FFFFFF" w:sz="0"/>
              <w:right w:val="none" w:color="FFFFFF" w:sz="0"/>
            </w:tcBorders>
            <w:shd w:fill="F7FAFF" w:val="clear"/>
            <w:tcMar>
              <w:top w:type="dxa" w:w="80"/>
              <w:left w:type="dxa" w:w="160"/>
              <w:bottom w:type="dxa" w:w="100"/>
              <w:right w:type="dxa" w:w="160"/>
            </w:tcMar>
            <w:vAlign w:val="top"/>
          </w:tcPr>
          <w:p>
            <w:pPr>
              <w:spacing w:before="0" w:after="0"/>
              <w:jc w:val="left"/>
            </w:pPr>
            <w:r>
              <w:rPr>
                <w:rFonts w:ascii="Calibri" w:cs="Calibri" w:eastAsia="Calibri" w:hAnsi="Calibri"/>
                <w:b w:val="false"/>
                <w:bCs w:val="false"/>
                <w:i w:val="false"/>
                <w:iCs w:val="false"/>
                <w:color w:val="595959"/>
                <w:sz w:val="19"/>
                <w:szCs w:val="19"/>
              </w:rPr>
              <w:t xml:space="preserve">Create TC-402 and TC-403 for fraud threshold boundary values (₹99,999 / ₹1,00,000 / ₹1,00,001) and TC-501–TC-503 for Kafka consumer offset validation with retry and timeout scenarios. Add these to the sprint backlog immediately. Expected impact: eliminates the two COVERAGE GAP entries in the RTM and ensures full traceability before any production deployment.</w:t>
            </w:r>
          </w:p>
        </w:tc>
      </w:tr>
    </w:tbl>
    <w:p>
      <w:pPr>
        <w:spacing w:before="0" w:after="1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1F4E79" w:sz="2"/>
              <w:left w:val="single" w:color="1F4E79" w:sz="2"/>
              <w:bottom w:val="single" w:color="1F4E79" w:sz="2"/>
              <w:right w:val="single" w:color="1F4E79" w:sz="2"/>
            </w:tcBorders>
            <w:shd w:fill="1F4E79" w:val="clear"/>
            <w:tcMar>
              <w:top w:type="dxa" w:w="100"/>
              <w:left w:type="dxa" w:w="0"/>
              <w:bottom w:type="dxa" w:w="0"/>
              <w:right w:type="dxa" w:w="0"/>
            </w:tcMar>
            <w:vAlign w:val="center"/>
          </w:tcPr>
          <w:p>
            <w:pPr>
              <w:spacing w:before="0" w:after="80"/>
              <w:jc w:val="center"/>
            </w:pPr>
            <w:r>
              <w:rPr>
                <w:rFonts w:ascii="Calibri" w:cs="Calibri" w:eastAsia="Calibri" w:hAnsi="Calibri"/>
                <w:b/>
                <w:bCs/>
                <w:i w:val="false"/>
                <w:iCs w:val="false"/>
                <w:color w:val="FFFFFF"/>
                <w:sz w:val="28"/>
                <w:szCs w:val="28"/>
              </w:rPr>
              <w:t xml:space="preserve">2</w:t>
            </w:r>
          </w:p>
        </w:tc>
        <w:tc>
          <w:tcPr>
            <w:tcW w:type="dxa" w:w="9880"/>
            <w:tcBorders>
              <w:top w:val="none" w:color="FFFFFF" w:sz="0"/>
              <w:left w:val="none" w:color="FFFFFF" w:sz="0"/>
              <w:bottom w:val="none" w:color="FFFFFF" w:sz="0"/>
              <w:right w:val="none" w:color="FFFFFF" w:sz="0"/>
            </w:tcBorders>
            <w:shd w:fill="FFFFFF" w:val="clear"/>
            <w:tcMar>
              <w:top w:type="dxa" w:w="100"/>
              <w:left w:type="dxa" w:w="160"/>
              <w:bottom w:type="dxa" w:w="0"/>
              <w:right w:type="dxa" w:w="0"/>
            </w:tcMar>
            <w:vAlign w:val="top"/>
          </w:tcPr>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800"/>
              <w:gridCol w:w="2900"/>
            </w:tblGrid>
            <w:tr>
              <w:tc>
                <w:tcPr>
                  <w:tcW w:type="dxa" w:w="6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before="0" w:after="0"/>
                    <w:jc w:val="left"/>
                  </w:pPr>
                  <w:r>
                    <w:rPr>
                      <w:rFonts w:ascii="Calibri" w:cs="Calibri" w:eastAsia="Calibri" w:hAnsi="Calibri"/>
                      <w:b/>
                      <w:bCs/>
                      <w:i w:val="false"/>
                      <w:iCs w:val="false"/>
                      <w:color w:val="1F4E79"/>
                      <w:sz w:val="22"/>
                      <w:szCs w:val="22"/>
                    </w:rPr>
                    <w:t xml:space="preserve">Complete cloud object storage (IBM COS / AWS S3) integration testing</w:t>
                  </w:r>
                </w:p>
              </w:tc>
              <w:tc>
                <w:tcPr>
                  <w:tcW w:type="dxa" w:w="2900"/>
                  <w:tcBorders>
                    <w:top w:val="single" w:color="D6E4F7" w:sz="2"/>
                    <w:left w:val="single" w:color="D6E4F7" w:sz="2"/>
                    <w:bottom w:val="single" w:color="D6E4F7" w:sz="2"/>
                    <w:right w:val="single" w:color="D6E4F7" w:sz="2"/>
                  </w:tcBorders>
                  <w:shd w:fill="D6E4F7" w:val="clear"/>
                  <w:tcMar>
                    <w:top w:type="dxa" w:w="40"/>
                    <w:left w:type="dxa" w:w="80"/>
                    <w:bottom w:type="dxa" w:w="40"/>
                    <w:right w:type="dxa" w:w="80"/>
                  </w:tcMar>
                  <w:vAlign w:val="center"/>
                </w:tcPr>
                <w:p>
                  <w:pPr>
                    <w:spacing w:before="0" w:after="0"/>
                    <w:jc w:val="center"/>
                  </w:pPr>
                  <w:r>
                    <w:rPr>
                      <w:rFonts w:ascii="Calibri" w:cs="Calibri" w:eastAsia="Calibri" w:hAnsi="Calibri"/>
                      <w:b/>
                      <w:bCs/>
                      <w:i w:val="false"/>
                      <w:iCs w:val="false"/>
                      <w:color w:val="2E75B6"/>
                      <w:sz w:val="18"/>
                      <w:szCs w:val="18"/>
                    </w:rPr>
                    <w:t xml:space="preserve">Impact: High</w:t>
                  </w:r>
                </w:p>
              </w:tc>
            </w:tr>
          </w:tbl>
          <w:p/>
        </w:tc>
      </w:tr>
      <w:tr>
        <w:tc>
          <w:tcPr>
            <w:tcW w:type="dxa" w:w="560"/>
            <w:tcBorders>
              <w:top w:val="single" w:color="1F4E79" w:sz="2"/>
              <w:left w:val="single" w:color="1F4E79" w:sz="2"/>
              <w:bottom w:val="single" w:color="1F4E79" w:sz="2"/>
              <w:right w:val="single" w:color="1F4E79" w:sz="2"/>
            </w:tcBorders>
            <w:shd w:fill="1F4E79" w:val="clear"/>
            <w:tcMar>
              <w:top w:type="dxa" w:w="0"/>
              <w:left w:type="dxa" w:w="0"/>
              <w:bottom w:type="dxa" w:w="100"/>
              <w:right w:type="dxa" w:w="0"/>
            </w:tcMar>
            <w:vAlign w:val="top"/>
          </w:tcPr>
          <w:p>
            <w:pPr>
              <w:spacing w:before="0" w:after="80"/>
              <w:jc w:val="left"/>
            </w:pPr>
            <w:r>
              <w:rPr>
                <w:rFonts w:ascii="Calibri" w:cs="Calibri" w:eastAsia="Calibri" w:hAnsi="Calibri"/>
                <w:b w:val="false"/>
                <w:bCs w:val="false"/>
                <w:i w:val="false"/>
                <w:iCs w:val="false"/>
                <w:color w:val="111111"/>
                <w:sz w:val="22"/>
                <w:szCs w:val="22"/>
              </w:rPr>
              <w:t xml:space="preserve"/>
            </w:r>
          </w:p>
        </w:tc>
        <w:tc>
          <w:tcPr>
            <w:tcW w:type="dxa" w:w="9880"/>
            <w:tcBorders>
              <w:top w:val="single" w:color="DDDDDD" w:sz="2"/>
              <w:left w:val="none" w:color="FFFFFF" w:sz="0"/>
              <w:bottom w:val="none" w:color="FFFFFF" w:sz="0"/>
              <w:right w:val="none" w:color="FFFFFF" w:sz="0"/>
            </w:tcBorders>
            <w:shd w:fill="F7FAFF" w:val="clear"/>
            <w:tcMar>
              <w:top w:type="dxa" w:w="80"/>
              <w:left w:type="dxa" w:w="160"/>
              <w:bottom w:type="dxa" w:w="100"/>
              <w:right w:type="dxa" w:w="160"/>
            </w:tcMar>
            <w:vAlign w:val="top"/>
          </w:tcPr>
          <w:p>
            <w:pPr>
              <w:spacing w:before="0" w:after="0"/>
              <w:jc w:val="left"/>
            </w:pPr>
            <w:r>
              <w:rPr>
                <w:rFonts w:ascii="Calibri" w:cs="Calibri" w:eastAsia="Calibri" w:hAnsi="Calibri"/>
                <w:b w:val="false"/>
                <w:bCs w:val="false"/>
                <w:i w:val="false"/>
                <w:iCs w:val="false"/>
                <w:color w:val="595959"/>
                <w:sz w:val="19"/>
                <w:szCs w:val="19"/>
              </w:rPr>
              <w:t xml:space="preserve">The PoC deferred KYC document synchronisation to IBM Cloud Object Storage. This must be validated before go-live because KYC documents are a PCI-DSS and GDPR-regulated data asset. Target: confirm end-to-end write/read/delete operations with AES-256 encryption and cross-region replication within the next sprint. Expected impact: closes the one PARTIAL success criterion and enables full Conditional Go → Go conversion.</w:t>
            </w:r>
          </w:p>
        </w:tc>
      </w:tr>
    </w:tbl>
    <w:p>
      <w:pPr>
        <w:spacing w:before="0" w:after="1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1F4E79" w:sz="2"/>
              <w:left w:val="single" w:color="1F4E79" w:sz="2"/>
              <w:bottom w:val="single" w:color="1F4E79" w:sz="2"/>
              <w:right w:val="single" w:color="1F4E79" w:sz="2"/>
            </w:tcBorders>
            <w:shd w:fill="1F4E79" w:val="clear"/>
            <w:tcMar>
              <w:top w:type="dxa" w:w="100"/>
              <w:left w:type="dxa" w:w="0"/>
              <w:bottom w:type="dxa" w:w="0"/>
              <w:right w:type="dxa" w:w="0"/>
            </w:tcMar>
            <w:vAlign w:val="center"/>
          </w:tcPr>
          <w:p>
            <w:pPr>
              <w:spacing w:before="0" w:after="80"/>
              <w:jc w:val="center"/>
            </w:pPr>
            <w:r>
              <w:rPr>
                <w:rFonts w:ascii="Calibri" w:cs="Calibri" w:eastAsia="Calibri" w:hAnsi="Calibri"/>
                <w:b/>
                <w:bCs/>
                <w:i w:val="false"/>
                <w:iCs w:val="false"/>
                <w:color w:val="FFFFFF"/>
                <w:sz w:val="28"/>
                <w:szCs w:val="28"/>
              </w:rPr>
              <w:t xml:space="preserve">3</w:t>
            </w:r>
          </w:p>
        </w:tc>
        <w:tc>
          <w:tcPr>
            <w:tcW w:type="dxa" w:w="9880"/>
            <w:tcBorders>
              <w:top w:val="none" w:color="FFFFFF" w:sz="0"/>
              <w:left w:val="none" w:color="FFFFFF" w:sz="0"/>
              <w:bottom w:val="none" w:color="FFFFFF" w:sz="0"/>
              <w:right w:val="none" w:color="FFFFFF" w:sz="0"/>
            </w:tcBorders>
            <w:shd w:fill="FFFFFF" w:val="clear"/>
            <w:tcMar>
              <w:top w:type="dxa" w:w="100"/>
              <w:left w:type="dxa" w:w="160"/>
              <w:bottom w:type="dxa" w:w="0"/>
              <w:right w:type="dxa" w:w="0"/>
            </w:tcMar>
            <w:vAlign w:val="top"/>
          </w:tcPr>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800"/>
              <w:gridCol w:w="2900"/>
            </w:tblGrid>
            <w:tr>
              <w:tc>
                <w:tcPr>
                  <w:tcW w:type="dxa" w:w="6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before="0" w:after="0"/>
                    <w:jc w:val="left"/>
                  </w:pPr>
                  <w:r>
                    <w:rPr>
                      <w:rFonts w:ascii="Calibri" w:cs="Calibri" w:eastAsia="Calibri" w:hAnsi="Calibri"/>
                      <w:b/>
                      <w:bCs/>
                      <w:i w:val="false"/>
                      <w:iCs w:val="false"/>
                      <w:color w:val="1F4E79"/>
                      <w:sz w:val="22"/>
                      <w:szCs w:val="22"/>
                    </w:rPr>
                    <w:t xml:space="preserve">Implement mTLS and OAuth 2.0 across all microservice-to-microservice calls</w:t>
                  </w:r>
                </w:p>
              </w:tc>
              <w:tc>
                <w:tcPr>
                  <w:tcW w:type="dxa" w:w="2900"/>
                  <w:tcBorders>
                    <w:top w:val="single" w:color="E2EFDA" w:sz="2"/>
                    <w:left w:val="single" w:color="E2EFDA" w:sz="2"/>
                    <w:bottom w:val="single" w:color="E2EFDA" w:sz="2"/>
                    <w:right w:val="single" w:color="E2EFDA" w:sz="2"/>
                  </w:tcBorders>
                  <w:shd w:fill="E2EFDA" w:val="clear"/>
                  <w:tcMar>
                    <w:top w:type="dxa" w:w="40"/>
                    <w:left w:type="dxa" w:w="80"/>
                    <w:bottom w:type="dxa" w:w="40"/>
                    <w:right w:type="dxa" w:w="80"/>
                  </w:tcMar>
                  <w:vAlign w:val="center"/>
                </w:tcPr>
                <w:p>
                  <w:pPr>
                    <w:spacing w:before="0" w:after="0"/>
                    <w:jc w:val="center"/>
                  </w:pPr>
                  <w:r>
                    <w:rPr>
                      <w:rFonts w:ascii="Calibri" w:cs="Calibri" w:eastAsia="Calibri" w:hAnsi="Calibri"/>
                      <w:b/>
                      <w:bCs/>
                      <w:i w:val="false"/>
                      <w:iCs w:val="false"/>
                      <w:color w:val="1E7145"/>
                      <w:sz w:val="18"/>
                      <w:szCs w:val="18"/>
                    </w:rPr>
                    <w:t xml:space="preserve">Impact: High</w:t>
                  </w:r>
                </w:p>
              </w:tc>
            </w:tr>
          </w:tbl>
          <w:p/>
        </w:tc>
      </w:tr>
      <w:tr>
        <w:tc>
          <w:tcPr>
            <w:tcW w:type="dxa" w:w="560"/>
            <w:tcBorders>
              <w:top w:val="single" w:color="1F4E79" w:sz="2"/>
              <w:left w:val="single" w:color="1F4E79" w:sz="2"/>
              <w:bottom w:val="single" w:color="1F4E79" w:sz="2"/>
              <w:right w:val="single" w:color="1F4E79" w:sz="2"/>
            </w:tcBorders>
            <w:shd w:fill="1F4E79" w:val="clear"/>
            <w:tcMar>
              <w:top w:type="dxa" w:w="0"/>
              <w:left w:type="dxa" w:w="0"/>
              <w:bottom w:type="dxa" w:w="100"/>
              <w:right w:type="dxa" w:w="0"/>
            </w:tcMar>
            <w:vAlign w:val="top"/>
          </w:tcPr>
          <w:p>
            <w:pPr>
              <w:spacing w:before="0" w:after="80"/>
              <w:jc w:val="left"/>
            </w:pPr>
            <w:r>
              <w:rPr>
                <w:rFonts w:ascii="Calibri" w:cs="Calibri" w:eastAsia="Calibri" w:hAnsi="Calibri"/>
                <w:b w:val="false"/>
                <w:bCs w:val="false"/>
                <w:i w:val="false"/>
                <w:iCs w:val="false"/>
                <w:color w:val="111111"/>
                <w:sz w:val="22"/>
                <w:szCs w:val="22"/>
              </w:rPr>
              <w:t xml:space="preserve"/>
            </w:r>
          </w:p>
        </w:tc>
        <w:tc>
          <w:tcPr>
            <w:tcW w:type="dxa" w:w="9880"/>
            <w:tcBorders>
              <w:top w:val="single" w:color="DDDDDD" w:sz="2"/>
              <w:left w:val="none" w:color="FFFFFF" w:sz="0"/>
              <w:bottom w:val="none" w:color="FFFFFF" w:sz="0"/>
              <w:right w:val="none" w:color="FFFFFF" w:sz="0"/>
            </w:tcBorders>
            <w:shd w:fill="F7FAFF" w:val="clear"/>
            <w:tcMar>
              <w:top w:type="dxa" w:w="80"/>
              <w:left w:type="dxa" w:w="160"/>
              <w:bottom w:type="dxa" w:w="100"/>
              <w:right w:type="dxa" w:w="160"/>
            </w:tcMar>
            <w:vAlign w:val="top"/>
          </w:tcPr>
          <w:p>
            <w:pPr>
              <w:spacing w:before="0" w:after="0"/>
              <w:jc w:val="left"/>
            </w:pPr>
            <w:r>
              <w:rPr>
                <w:rFonts w:ascii="Calibri" w:cs="Calibri" w:eastAsia="Calibri" w:hAnsi="Calibri"/>
                <w:b w:val="false"/>
                <w:bCs w:val="false"/>
                <w:i w:val="false"/>
                <w:iCs w:val="false"/>
                <w:color w:val="595959"/>
                <w:sz w:val="19"/>
                <w:szCs w:val="19"/>
              </w:rPr>
              <w:t xml:space="preserve">The current PoC uses JWT at the API Gateway boundary but does not enforce mTLS for internal service-to-service communication. Before staging promotion, enable mutual TLS on all internal routes (auth ↔ onboarding ↔ loan ↔ fraud) and replace any static tokens with OAuth 2.0 client credentials flows. Expected impact: eliminates a zero-trust architecture gap and satisfies PCI-DSS Requirement 6.5 and FFIEC network security controls.</w:t>
            </w:r>
          </w:p>
        </w:tc>
      </w:tr>
    </w:tbl>
    <w:p>
      <w:pPr>
        <w:spacing w:before="0" w:after="1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1F4E79" w:sz="2"/>
              <w:left w:val="single" w:color="1F4E79" w:sz="2"/>
              <w:bottom w:val="single" w:color="1F4E79" w:sz="2"/>
              <w:right w:val="single" w:color="1F4E79" w:sz="2"/>
            </w:tcBorders>
            <w:shd w:fill="1F4E79" w:val="clear"/>
            <w:tcMar>
              <w:top w:type="dxa" w:w="100"/>
              <w:left w:type="dxa" w:w="0"/>
              <w:bottom w:type="dxa" w:w="0"/>
              <w:right w:type="dxa" w:w="0"/>
            </w:tcMar>
            <w:vAlign w:val="center"/>
          </w:tcPr>
          <w:p>
            <w:pPr>
              <w:spacing w:before="0" w:after="80"/>
              <w:jc w:val="center"/>
            </w:pPr>
            <w:r>
              <w:rPr>
                <w:rFonts w:ascii="Calibri" w:cs="Calibri" w:eastAsia="Calibri" w:hAnsi="Calibri"/>
                <w:b/>
                <w:bCs/>
                <w:i w:val="false"/>
                <w:iCs w:val="false"/>
                <w:color w:val="FFFFFF"/>
                <w:sz w:val="28"/>
                <w:szCs w:val="28"/>
              </w:rPr>
              <w:t xml:space="preserve">4</w:t>
            </w:r>
          </w:p>
        </w:tc>
        <w:tc>
          <w:tcPr>
            <w:tcW w:type="dxa" w:w="9880"/>
            <w:tcBorders>
              <w:top w:val="none" w:color="FFFFFF" w:sz="0"/>
              <w:left w:val="none" w:color="FFFFFF" w:sz="0"/>
              <w:bottom w:val="none" w:color="FFFFFF" w:sz="0"/>
              <w:right w:val="none" w:color="FFFFFF" w:sz="0"/>
            </w:tcBorders>
            <w:shd w:fill="FFFFFF" w:val="clear"/>
            <w:tcMar>
              <w:top w:type="dxa" w:w="100"/>
              <w:left w:type="dxa" w:w="160"/>
              <w:bottom w:type="dxa" w:w="0"/>
              <w:right w:type="dxa" w:w="0"/>
            </w:tcMar>
            <w:vAlign w:val="top"/>
          </w:tcPr>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800"/>
              <w:gridCol w:w="2900"/>
            </w:tblGrid>
            <w:tr>
              <w:tc>
                <w:tcPr>
                  <w:tcW w:type="dxa" w:w="68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before="0" w:after="0"/>
                    <w:jc w:val="left"/>
                  </w:pPr>
                  <w:r>
                    <w:rPr>
                      <w:rFonts w:ascii="Calibri" w:cs="Calibri" w:eastAsia="Calibri" w:hAnsi="Calibri"/>
                      <w:b/>
                      <w:bCs/>
                      <w:i w:val="false"/>
                      <w:iCs w:val="false"/>
                      <w:color w:val="1F4E79"/>
                      <w:sz w:val="22"/>
                      <w:szCs w:val="22"/>
                    </w:rPr>
                    <w:t xml:space="preserve">Address skill silos with targeted cross-functional cloud training</w:t>
                  </w:r>
                </w:p>
              </w:tc>
              <w:tc>
                <w:tcPr>
                  <w:tcW w:type="dxa" w:w="2900"/>
                  <w:tcBorders>
                    <w:top w:val="single" w:color="E2EFDA" w:sz="2"/>
                    <w:left w:val="single" w:color="E2EFDA" w:sz="2"/>
                    <w:bottom w:val="single" w:color="E2EFDA" w:sz="2"/>
                    <w:right w:val="single" w:color="E2EFDA" w:sz="2"/>
                  </w:tcBorders>
                  <w:shd w:fill="E2EFDA" w:val="clear"/>
                  <w:tcMar>
                    <w:top w:type="dxa" w:w="40"/>
                    <w:left w:type="dxa" w:w="80"/>
                    <w:bottom w:type="dxa" w:w="40"/>
                    <w:right w:type="dxa" w:w="80"/>
                  </w:tcMar>
                  <w:vAlign w:val="center"/>
                </w:tcPr>
                <w:p>
                  <w:pPr>
                    <w:spacing w:before="0" w:after="0"/>
                    <w:jc w:val="center"/>
                  </w:pPr>
                  <w:r>
                    <w:rPr>
                      <w:rFonts w:ascii="Calibri" w:cs="Calibri" w:eastAsia="Calibri" w:hAnsi="Calibri"/>
                      <w:b/>
                      <w:bCs/>
                      <w:i w:val="false"/>
                      <w:iCs w:val="false"/>
                      <w:color w:val="1E7145"/>
                      <w:sz w:val="18"/>
                      <w:szCs w:val="18"/>
                    </w:rPr>
                    <w:t xml:space="preserve">Impact: Medium</w:t>
                  </w:r>
                </w:p>
              </w:tc>
            </w:tr>
          </w:tbl>
          <w:p/>
        </w:tc>
      </w:tr>
      <w:tr>
        <w:tc>
          <w:tcPr>
            <w:tcW w:type="dxa" w:w="560"/>
            <w:tcBorders>
              <w:top w:val="single" w:color="1F4E79" w:sz="2"/>
              <w:left w:val="single" w:color="1F4E79" w:sz="2"/>
              <w:bottom w:val="single" w:color="1F4E79" w:sz="2"/>
              <w:right w:val="single" w:color="1F4E79" w:sz="2"/>
            </w:tcBorders>
            <w:shd w:fill="1F4E79" w:val="clear"/>
            <w:tcMar>
              <w:top w:type="dxa" w:w="0"/>
              <w:left w:type="dxa" w:w="0"/>
              <w:bottom w:type="dxa" w:w="100"/>
              <w:right w:type="dxa" w:w="0"/>
            </w:tcMar>
            <w:vAlign w:val="top"/>
          </w:tcPr>
          <w:p>
            <w:pPr>
              <w:spacing w:before="0" w:after="80"/>
              <w:jc w:val="left"/>
            </w:pPr>
            <w:r>
              <w:rPr>
                <w:rFonts w:ascii="Calibri" w:cs="Calibri" w:eastAsia="Calibri" w:hAnsi="Calibri"/>
                <w:b w:val="false"/>
                <w:bCs w:val="false"/>
                <w:i w:val="false"/>
                <w:iCs w:val="false"/>
                <w:color w:val="111111"/>
                <w:sz w:val="22"/>
                <w:szCs w:val="22"/>
              </w:rPr>
              <w:t xml:space="preserve"/>
            </w:r>
          </w:p>
        </w:tc>
        <w:tc>
          <w:tcPr>
            <w:tcW w:type="dxa" w:w="9880"/>
            <w:tcBorders>
              <w:top w:val="single" w:color="DDDDDD" w:sz="2"/>
              <w:left w:val="none" w:color="FFFFFF" w:sz="0"/>
              <w:bottom w:val="none" w:color="FFFFFF" w:sz="0"/>
              <w:right w:val="none" w:color="FFFFFF" w:sz="0"/>
            </w:tcBorders>
            <w:shd w:fill="F7FAFF" w:val="clear"/>
            <w:tcMar>
              <w:top w:type="dxa" w:w="80"/>
              <w:left w:type="dxa" w:w="160"/>
              <w:bottom w:type="dxa" w:w="100"/>
              <w:right w:type="dxa" w:w="160"/>
            </w:tcMar>
            <w:vAlign w:val="top"/>
          </w:tcPr>
          <w:p>
            <w:pPr>
              <w:spacing w:before="0" w:after="0"/>
              <w:jc w:val="left"/>
            </w:pPr>
            <w:r>
              <w:rPr>
                <w:rFonts w:ascii="Calibri" w:cs="Calibri" w:eastAsia="Calibri" w:hAnsi="Calibri"/>
                <w:b w:val="false"/>
                <w:bCs w:val="false"/>
                <w:i w:val="false"/>
                <w:iCs w:val="false"/>
                <w:color w:val="595959"/>
                <w:sz w:val="19"/>
                <w:szCs w:val="19"/>
              </w:rPr>
              <w:t xml:space="preserve">The SWOT analysis identified limited cross-functional cloud expertise as a structural weakness. A targeted 6-week training programme covering Kubernetes, Kafka, and DevSecOps practices should be run for all teams before the integration test phase. Pair learning with the ongoing CI/CD pipeline work. Expected impact: reduces dependency on a small number of cloud specialists, accelerates delivery velocity, and lowers key-person risk.</w:t>
            </w:r>
          </w:p>
        </w:tc>
      </w:tr>
    </w:tbl>
    <w:p>
      <w:pPr>
        <w:spacing w:before="0" w:after="200"/>
      </w:pPr>
    </w:p>
    <w:p>
      <w:pPr>
        <w:spacing w:before="0" w:after="60"/>
      </w:pPr>
      <w:r>
        <w:rPr>
          <w:rFonts w:ascii="Calibri" w:cs="Calibri" w:eastAsia="Calibri" w:hAnsi="Calibri"/>
          <w:b/>
          <w:bCs/>
          <w:color w:val="1F4E79"/>
          <w:sz w:val="18"/>
          <w:szCs w:val="18"/>
        </w:rPr>
        <w:t xml:space="preserve">● ● ● ● ●</w:t>
      </w:r>
    </w:p>
    <w:p>
      <w:r>
        <w:br w:type="page"/>
      </w:r>
    </w:p>
    <w:p>
      <w:pPr>
        <w:spacing w:before="0" w:after="80"/>
        <w:jc w:val="right"/>
      </w:pPr>
      <w:r>
        <w:rPr>
          <w:b/>
          <w:bCs/>
          <w:color w:val="1F4E79"/>
          <w:sz w:val="18"/>
          <w:szCs w:val="18"/>
        </w:rPr>
        <w:t xml:space="preserve">● ● ● ● ●</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before="0" w:after="0"/>
              <w:jc w:val="left"/>
            </w:pPr>
            <w:r>
              <w:rPr>
                <w:rFonts w:ascii="Calibri" w:cs="Calibri" w:eastAsia="Calibri" w:hAnsi="Calibri"/>
                <w:b/>
                <w:bCs/>
                <w:i w:val="false"/>
                <w:iCs w:val="false"/>
                <w:color w:val="1F4E79"/>
                <w:sz w:val="38"/>
                <w:szCs w:val="38"/>
              </w:rPr>
              <w:t xml:space="preserve">Conclusion</w:t>
            </w:r>
          </w:p>
          <w:p>
            <w:pPr>
              <w:pBdr>
                <w:bottom w:val="single" w:color="2E75B6" w:sz="8"/>
              </w:pBdr>
              <w:spacing w:before="60" w:after="100"/>
            </w:pPr>
          </w:p>
        </w:tc>
      </w:tr>
    </w:tbl>
    <w:p>
      <w:pPr>
        <w:spacing w:before="0" w:after="1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2E75B6" w:sz="2"/>
              <w:left w:val="single" w:color="2E75B6" w:sz="2"/>
              <w:bottom w:val="single" w:color="2E75B6" w:sz="2"/>
              <w:right w:val="single" w:color="2E75B6" w:sz="2"/>
            </w:tcBorders>
            <w:shd w:fill="2E75B6" w:val="clear"/>
            <w:tcMar>
              <w:top w:type="dxa" w:w="120"/>
              <w:left w:type="dxa" w:w="0"/>
              <w:bottom w:type="dxa" w:w="120"/>
              <w:right w:type="dxa" w:w="0"/>
            </w:tcMar>
            <w:vAlign w:val="center"/>
          </w:tcPr>
          <w:p>
            <w:pPr>
              <w:spacing w:before="0" w:after="80"/>
              <w:jc w:val="center"/>
            </w:pPr>
            <w:r>
              <w:rPr>
                <w:rFonts w:ascii="Calibri" w:cs="Calibri" w:eastAsia="Calibri" w:hAnsi="Calibri"/>
                <w:b/>
                <w:bCs/>
                <w:i w:val="false"/>
                <w:iCs w:val="false"/>
                <w:color w:val="FFFFFF"/>
                <w:sz w:val="24"/>
                <w:szCs w:val="24"/>
              </w:rPr>
              <w:t xml:space="preserve">1</w:t>
            </w:r>
          </w:p>
        </w:tc>
        <w:tc>
          <w:tcPr>
            <w:tcW w:type="dxa" w:w="9880"/>
            <w:tcBorders>
              <w:top w:val="none" w:color="FFFFFF" w:sz="0"/>
              <w:left w:val="single" w:color="2E75B6" w:sz="4"/>
              <w:bottom w:val="none" w:color="FFFFFF" w:sz="0"/>
              <w:right w:val="none" w:color="FFFFFF" w:sz="0"/>
            </w:tcBorders>
            <w:shd w:fill="F7FAFF" w:val="clear"/>
            <w:tcMar>
              <w:top w:type="dxa" w:w="120"/>
              <w:left w:type="dxa" w:w="200"/>
              <w:bottom w:type="dxa" w:w="120"/>
              <w:right w:type="dxa" w:w="160"/>
            </w:tcMar>
            <w:vAlign w:val="top"/>
          </w:tcPr>
          <w:p>
            <w:pPr>
              <w:spacing w:before="0" w:after="0"/>
              <w:jc w:val="left"/>
            </w:pPr>
            <w:r>
              <w:rPr>
                <w:rFonts w:ascii="Calibri" w:cs="Calibri" w:eastAsia="Calibri" w:hAnsi="Calibri"/>
                <w:b w:val="false"/>
                <w:bCs w:val="false"/>
                <w:i w:val="false"/>
                <w:iCs w:val="false"/>
                <w:color w:val="404040"/>
                <w:sz w:val="21"/>
                <w:szCs w:val="21"/>
              </w:rPr>
              <w:t xml:space="preserve">The Proof of Concept validated that a cloud-native microservices architecture — built on containerised services, Kafka event streaming, and PostgreSQL — is technically viable for ABC Bank's Core Digital Transformation. With 86% of success criteria fully met, the project is cleared for conditional progression to the integration testing and staging phases.</w:t>
            </w:r>
          </w:p>
        </w:tc>
      </w:tr>
    </w:tbl>
    <w:p>
      <w:pPr>
        <w:spacing w:before="0" w:after="1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2E75B6" w:sz="2"/>
              <w:left w:val="single" w:color="2E75B6" w:sz="2"/>
              <w:bottom w:val="single" w:color="2E75B6" w:sz="2"/>
              <w:right w:val="single" w:color="2E75B6" w:sz="2"/>
            </w:tcBorders>
            <w:shd w:fill="2E75B6" w:val="clear"/>
            <w:tcMar>
              <w:top w:type="dxa" w:w="120"/>
              <w:left w:type="dxa" w:w="0"/>
              <w:bottom w:type="dxa" w:w="120"/>
              <w:right w:type="dxa" w:w="0"/>
            </w:tcMar>
            <w:vAlign w:val="center"/>
          </w:tcPr>
          <w:p>
            <w:pPr>
              <w:spacing w:before="0" w:after="80"/>
              <w:jc w:val="center"/>
            </w:pPr>
            <w:r>
              <w:rPr>
                <w:rFonts w:ascii="Calibri" w:cs="Calibri" w:eastAsia="Calibri" w:hAnsi="Calibri"/>
                <w:b/>
                <w:bCs/>
                <w:i w:val="false"/>
                <w:iCs w:val="false"/>
                <w:color w:val="FFFFFF"/>
                <w:sz w:val="24"/>
                <w:szCs w:val="24"/>
              </w:rPr>
              <w:t xml:space="preserve">2</w:t>
            </w:r>
          </w:p>
        </w:tc>
        <w:tc>
          <w:tcPr>
            <w:tcW w:type="dxa" w:w="9880"/>
            <w:tcBorders>
              <w:top w:val="none" w:color="FFFFFF" w:sz="0"/>
              <w:left w:val="single" w:color="2E75B6" w:sz="4"/>
              <w:bottom w:val="none" w:color="FFFFFF" w:sz="0"/>
              <w:right w:val="none" w:color="FFFFFF" w:sz="0"/>
            </w:tcBorders>
            <w:shd w:fill="F7FAFF" w:val="clear"/>
            <w:tcMar>
              <w:top w:type="dxa" w:w="120"/>
              <w:left w:type="dxa" w:w="200"/>
              <w:bottom w:type="dxa" w:w="120"/>
              <w:right w:type="dxa" w:w="160"/>
            </w:tcMar>
            <w:vAlign w:val="top"/>
          </w:tcPr>
          <w:p>
            <w:pPr>
              <w:spacing w:before="0" w:after="0"/>
              <w:jc w:val="left"/>
            </w:pPr>
            <w:r>
              <w:rPr>
                <w:rFonts w:ascii="Calibri" w:cs="Calibri" w:eastAsia="Calibri" w:hAnsi="Calibri"/>
                <w:b w:val="false"/>
                <w:bCs w:val="false"/>
                <w:i w:val="false"/>
                <w:iCs w:val="false"/>
                <w:color w:val="404040"/>
                <w:sz w:val="21"/>
                <w:szCs w:val="21"/>
              </w:rPr>
              <w:t xml:space="preserve">Test quality is the most immediate risk: the RTM review uncovered 8 test plan issues including 2 complete coverage gaps (fraud threshold and Kafka consumer), missing MFA failure tests, and absent AML escalation scenarios. Closing these gaps before staging promotion is non-negotiable for regulatory compliance under PCI-DSS and FFIEC.</w:t>
            </w:r>
          </w:p>
        </w:tc>
      </w:tr>
    </w:tbl>
    <w:p>
      <w:pPr>
        <w:spacing w:before="0" w:after="1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2E75B6" w:sz="2"/>
              <w:left w:val="single" w:color="2E75B6" w:sz="2"/>
              <w:bottom w:val="single" w:color="2E75B6" w:sz="2"/>
              <w:right w:val="single" w:color="2E75B6" w:sz="2"/>
            </w:tcBorders>
            <w:shd w:fill="2E75B6" w:val="clear"/>
            <w:tcMar>
              <w:top w:type="dxa" w:w="120"/>
              <w:left w:type="dxa" w:w="0"/>
              <w:bottom w:type="dxa" w:w="120"/>
              <w:right w:type="dxa" w:w="0"/>
            </w:tcMar>
            <w:vAlign w:val="center"/>
          </w:tcPr>
          <w:p>
            <w:pPr>
              <w:spacing w:before="0" w:after="80"/>
              <w:jc w:val="center"/>
            </w:pPr>
            <w:r>
              <w:rPr>
                <w:rFonts w:ascii="Calibri" w:cs="Calibri" w:eastAsia="Calibri" w:hAnsi="Calibri"/>
                <w:b/>
                <w:bCs/>
                <w:i w:val="false"/>
                <w:iCs w:val="false"/>
                <w:color w:val="FFFFFF"/>
                <w:sz w:val="24"/>
                <w:szCs w:val="24"/>
              </w:rPr>
              <w:t xml:space="preserve">3</w:t>
            </w:r>
          </w:p>
        </w:tc>
        <w:tc>
          <w:tcPr>
            <w:tcW w:type="dxa" w:w="9880"/>
            <w:tcBorders>
              <w:top w:val="none" w:color="FFFFFF" w:sz="0"/>
              <w:left w:val="single" w:color="2E75B6" w:sz="4"/>
              <w:bottom w:val="none" w:color="FFFFFF" w:sz="0"/>
              <w:right w:val="none" w:color="FFFFFF" w:sz="0"/>
            </w:tcBorders>
            <w:shd w:fill="F7FAFF" w:val="clear"/>
            <w:tcMar>
              <w:top w:type="dxa" w:w="120"/>
              <w:left w:type="dxa" w:w="200"/>
              <w:bottom w:type="dxa" w:w="120"/>
              <w:right w:type="dxa" w:w="160"/>
            </w:tcMar>
            <w:vAlign w:val="top"/>
          </w:tcPr>
          <w:p>
            <w:pPr>
              <w:spacing w:before="0" w:after="0"/>
              <w:jc w:val="left"/>
            </w:pPr>
            <w:r>
              <w:rPr>
                <w:rFonts w:ascii="Calibri" w:cs="Calibri" w:eastAsia="Calibri" w:hAnsi="Calibri"/>
                <w:b w:val="false"/>
                <w:bCs w:val="false"/>
                <w:i w:val="false"/>
                <w:iCs w:val="false"/>
                <w:color w:val="404040"/>
                <w:sz w:val="21"/>
                <w:szCs w:val="21"/>
              </w:rPr>
              <w:t xml:space="preserve">The 9-stage DevSecOps CI/CD pipeline and monitoring strategy provide a production-ready delivery framework, with defined KPIs (API latency &lt; 200ms P95, availability ≥ 99.9%, error rate &lt; 0.1%), a 4-level escalation path, and Tier-1 RTO/RPO targets. With mTLS, OAuth 2.0, and cloud object storage testing completed, the architecture will fully satisfy the project's security, compliance, and resilience success criteria.</w:t>
            </w:r>
          </w:p>
        </w:tc>
      </w:tr>
    </w:tbl>
    <w:p>
      <w:pPr>
        <w:spacing w:before="0" w:after="10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60"/>
        <w:gridCol w:w="9880"/>
      </w:tblGrid>
      <w:tr>
        <w:tc>
          <w:tcPr>
            <w:tcW w:type="dxa" w:w="560"/>
            <w:tcBorders>
              <w:top w:val="single" w:color="2E75B6" w:sz="2"/>
              <w:left w:val="single" w:color="2E75B6" w:sz="2"/>
              <w:bottom w:val="single" w:color="2E75B6" w:sz="2"/>
              <w:right w:val="single" w:color="2E75B6" w:sz="2"/>
            </w:tcBorders>
            <w:shd w:fill="2E75B6" w:val="clear"/>
            <w:tcMar>
              <w:top w:type="dxa" w:w="120"/>
              <w:left w:type="dxa" w:w="0"/>
              <w:bottom w:type="dxa" w:w="120"/>
              <w:right w:type="dxa" w:w="0"/>
            </w:tcMar>
            <w:vAlign w:val="center"/>
          </w:tcPr>
          <w:p>
            <w:pPr>
              <w:spacing w:before="0" w:after="80"/>
              <w:jc w:val="center"/>
            </w:pPr>
            <w:r>
              <w:rPr>
                <w:rFonts w:ascii="Calibri" w:cs="Calibri" w:eastAsia="Calibri" w:hAnsi="Calibri"/>
                <w:b/>
                <w:bCs/>
                <w:i w:val="false"/>
                <w:iCs w:val="false"/>
                <w:color w:val="FFFFFF"/>
                <w:sz w:val="24"/>
                <w:szCs w:val="24"/>
              </w:rPr>
              <w:t xml:space="preserve">4</w:t>
            </w:r>
          </w:p>
        </w:tc>
        <w:tc>
          <w:tcPr>
            <w:tcW w:type="dxa" w:w="9880"/>
            <w:tcBorders>
              <w:top w:val="none" w:color="FFFFFF" w:sz="0"/>
              <w:left w:val="single" w:color="2E75B6" w:sz="4"/>
              <w:bottom w:val="none" w:color="FFFFFF" w:sz="0"/>
              <w:right w:val="none" w:color="FFFFFF" w:sz="0"/>
            </w:tcBorders>
            <w:shd w:fill="F7FAFF" w:val="clear"/>
            <w:tcMar>
              <w:top w:type="dxa" w:w="120"/>
              <w:left w:type="dxa" w:w="200"/>
              <w:bottom w:type="dxa" w:w="120"/>
              <w:right w:type="dxa" w:w="160"/>
            </w:tcMar>
            <w:vAlign w:val="top"/>
          </w:tcPr>
          <w:p>
            <w:pPr>
              <w:spacing w:before="0" w:after="0"/>
              <w:jc w:val="left"/>
            </w:pPr>
            <w:r>
              <w:rPr>
                <w:rFonts w:ascii="Calibri" w:cs="Calibri" w:eastAsia="Calibri" w:hAnsi="Calibri"/>
                <w:b w:val="false"/>
                <w:bCs w:val="false"/>
                <w:i w:val="false"/>
                <w:iCs w:val="false"/>
                <w:color w:val="404040"/>
                <w:sz w:val="21"/>
                <w:szCs w:val="21"/>
              </w:rPr>
              <w:t xml:space="preserve">The transformation positions ABC Bank to achieve competitive differentiation through real-time onboarding (target: &lt; 5 minutes), AI-assisted fraud detection (alert within 30 seconds), and a unified data warehouse enabling analytics-driven decision-making — directly addressing the strategic objectives set out in the Project Charter and BRD.</w:t>
            </w:r>
          </w:p>
        </w:tc>
      </w:tr>
    </w:tbl>
    <w:p>
      <w:pPr>
        <w:spacing w:before="0" w:after="240"/>
      </w:pPr>
    </w:p>
    <w:p>
      <w:pPr>
        <w:spacing w:before="0" w:after="60"/>
      </w:pPr>
      <w:r>
        <w:rPr>
          <w:rFonts w:ascii="Calibri" w:cs="Calibri" w:eastAsia="Calibri" w:hAnsi="Calibri"/>
          <w:b/>
          <w:bCs/>
          <w:color w:val="1F4E79"/>
          <w:sz w:val="18"/>
          <w:szCs w:val="18"/>
        </w:rPr>
        <w:t xml:space="preserve">● ● ● ● ●</w:t>
      </w:r>
    </w:p>
    <w:p>
      <w:pPr>
        <w:spacing w:before="0" w:after="12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2E75B6" w:sz="8"/>
              <w:left w:val="none" w:color="FFFFFF" w:sz="0"/>
              <w:bottom w:val="none" w:color="FFFFFF" w:sz="0"/>
              <w:right w:val="none" w:color="FFFFFF" w:sz="0"/>
            </w:tcBorders>
            <w:shd w:fill="FFFFFF" w:val="clear"/>
            <w:tcMar>
              <w:top w:type="dxa" w:w="80"/>
              <w:left w:type="dxa" w:w="0"/>
              <w:bottom w:type="dxa" w:w="0"/>
              <w:right w:type="dxa" w:w="0"/>
            </w:tcMar>
            <w:vAlign w:val="top"/>
          </w:tcPr>
          <w:p>
            <w:pPr>
              <w:spacing w:before="0" w:after="80"/>
              <w:jc w:val="left"/>
            </w:pPr>
            <w:r>
              <w:rPr>
                <w:rFonts w:ascii="Calibri" w:cs="Calibri" w:eastAsia="Calibri" w:hAnsi="Calibri"/>
                <w:b w:val="false"/>
                <w:bCs w:val="false"/>
                <w:i/>
                <w:iCs/>
                <w:color w:val="888888"/>
                <w:sz w:val="16"/>
                <w:szCs w:val="16"/>
              </w:rPr>
              <w:t xml:space="preserve">Core Digital Transformation for Retail Banking  ·  Key Findings, Recommendations &amp; Conclusion  ·  Confidential  ·  v1.0  ·  February 18,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2026-02-18T13:07:45.194Z</dcterms:created>
  <dcterms:modified xsi:type="dcterms:W3CDTF">2026-02-18T13:07:45.195Z</dcterms:modified>
</cp:coreProperties>
</file>

<file path=docProps/custom.xml><?xml version="1.0" encoding="utf-8"?>
<Properties xmlns="http://schemas.openxmlformats.org/officeDocument/2006/custom-properties" xmlns:vt="http://schemas.openxmlformats.org/officeDocument/2006/docPropsVTypes"/>
</file>