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single" w:color="1F3864" w:sz="2"/>
              <w:left w:val="single" w:color="1F3864" w:sz="2"/>
              <w:bottom w:val="single" w:color="1F3864" w:sz="2"/>
              <w:right w:val="single" w:color="1F3864" w:sz="2"/>
            </w:tcBorders>
            <w:shd w:fill="1F3864" w:val="clear"/>
            <w:tcMar>
              <w:top w:type="dxa" w:w="180"/>
              <w:left w:type="dxa" w:w="240"/>
              <w:bottom w:type="dxa" w:w="180"/>
              <w:right w:type="dxa" w:w="240"/>
            </w:tcMar>
            <w:vAlign w:val="top"/>
          </w:tcPr>
          <w:p>
            <w:pPr>
              <w:spacing w:before="0" w:after="80"/>
              <w:jc w:val="center"/>
            </w:pPr>
            <w:r>
              <w:rPr>
                <w:rFonts w:ascii="Arial" w:cs="Arial" w:eastAsia="Arial" w:hAnsi="Arial"/>
                <w:b/>
                <w:bCs/>
                <w:i w:val="false"/>
                <w:iCs w:val="false"/>
                <w:color w:val="FFFFFF"/>
                <w:sz w:val="34"/>
                <w:szCs w:val="34"/>
              </w:rPr>
              <w:t xml:space="preserve">CI/CD PIPELINE &amp; MONITORING STRATEGY</w:t>
            </w:r>
          </w:p>
          <w:p>
            <w:pPr>
              <w:spacing w:before="0" w:after="60"/>
              <w:jc w:val="center"/>
            </w:pPr>
            <w:r>
              <w:rPr>
                <w:rFonts w:ascii="Arial" w:cs="Arial" w:eastAsia="Arial" w:hAnsi="Arial"/>
                <w:b w:val="false"/>
                <w:bCs w:val="false"/>
                <w:i w:val="false"/>
                <w:iCs w:val="false"/>
                <w:color w:val="AACCEE"/>
                <w:sz w:val="22"/>
                <w:szCs w:val="22"/>
              </w:rPr>
              <w:t xml:space="preserve">Core Digital Transformation for Retail Banking — ABC Bank</w:t>
            </w:r>
          </w:p>
          <w:p>
            <w:pPr>
              <w:spacing w:before="0" w:after="60"/>
              <w:jc w:val="center"/>
            </w:pPr>
            <w:r>
              <w:rPr>
                <w:rFonts w:ascii="Arial" w:cs="Arial" w:eastAsia="Arial" w:hAnsi="Arial"/>
                <w:b w:val="false"/>
                <w:bCs w:val="false"/>
                <w:i/>
                <w:iCs/>
                <w:color w:val="88BBDD"/>
                <w:sz w:val="19"/>
                <w:szCs w:val="19"/>
              </w:rPr>
              <w:t xml:space="preserve">DevSecOps Architecture  ·  Version 1.0  ·  February 18, 2026</w:t>
            </w:r>
          </w:p>
        </w:tc>
      </w:tr>
    </w:tbl>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610"/>
        <w:gridCol w:w="2610"/>
        <w:gridCol w:w="2610"/>
        <w:gridCol w:w="2610"/>
      </w:tblGrid>
      <w:tr>
        <w:tc>
          <w:tcPr>
            <w:tcW w:type="dxa" w:w="2610"/>
            <w:tcBorders>
              <w:top w:val="single" w:color="2E75B6" w:sz="2"/>
              <w:left w:val="single" w:color="2E75B6" w:sz="2"/>
              <w:bottom w:val="single" w:color="2E75B6" w:sz="2"/>
              <w:right w:val="single" w:color="2E75B6" w:sz="2"/>
            </w:tcBorders>
            <w:shd w:fill="2E75B6" w:val="clear"/>
            <w:tcMar>
              <w:top w:type="dxa" w:w="100"/>
              <w:left w:type="dxa" w:w="120"/>
              <w:bottom w:type="dxa" w:w="100"/>
              <w:right w:type="dxa" w:w="120"/>
            </w:tcMar>
            <w:vAlign w:val="top"/>
          </w:tcPr>
          <w:p>
            <w:pPr>
              <w:spacing w:before="0" w:after="100"/>
              <w:jc w:val="center"/>
            </w:pPr>
            <w:r>
              <w:rPr>
                <w:rFonts w:ascii="Arial" w:cs="Arial" w:eastAsia="Arial" w:hAnsi="Arial"/>
                <w:b/>
                <w:bCs/>
                <w:i w:val="false"/>
                <w:iCs w:val="false"/>
                <w:color w:val="FFFFFF"/>
                <w:sz w:val="18"/>
                <w:szCs w:val="18"/>
              </w:rPr>
              <w:t xml:space="preserve">Date: Feb 18, 2026</w:t>
            </w:r>
          </w:p>
        </w:tc>
        <w:tc>
          <w:tcPr>
            <w:tcW w:type="dxa" w:w="2610"/>
            <w:tcBorders>
              <w:top w:val="single" w:color="2E75B6" w:sz="2"/>
              <w:left w:val="single" w:color="2E75B6" w:sz="2"/>
              <w:bottom w:val="single" w:color="2E75B6" w:sz="2"/>
              <w:right w:val="single" w:color="2E75B6" w:sz="2"/>
            </w:tcBorders>
            <w:shd w:fill="2E75B6" w:val="clear"/>
            <w:tcMar>
              <w:top w:type="dxa" w:w="100"/>
              <w:left w:type="dxa" w:w="120"/>
              <w:bottom w:type="dxa" w:w="100"/>
              <w:right w:type="dxa" w:w="120"/>
            </w:tcMar>
            <w:vAlign w:val="top"/>
          </w:tcPr>
          <w:p>
            <w:pPr>
              <w:spacing w:before="0" w:after="100"/>
              <w:jc w:val="center"/>
            </w:pPr>
            <w:r>
              <w:rPr>
                <w:rFonts w:ascii="Arial" w:cs="Arial" w:eastAsia="Arial" w:hAnsi="Arial"/>
                <w:b/>
                <w:bCs/>
                <w:i w:val="false"/>
                <w:iCs w:val="false"/>
                <w:color w:val="FFFFFF"/>
                <w:sz w:val="18"/>
                <w:szCs w:val="18"/>
              </w:rPr>
              <w:t xml:space="preserve">Prepared By: DevOps Architect</w:t>
            </w:r>
          </w:p>
        </w:tc>
        <w:tc>
          <w:tcPr>
            <w:tcW w:type="dxa" w:w="2610"/>
            <w:tcBorders>
              <w:top w:val="single" w:color="2E75B6" w:sz="2"/>
              <w:left w:val="single" w:color="2E75B6" w:sz="2"/>
              <w:bottom w:val="single" w:color="2E75B6" w:sz="2"/>
              <w:right w:val="single" w:color="2E75B6" w:sz="2"/>
            </w:tcBorders>
            <w:shd w:fill="2E75B6" w:val="clear"/>
            <w:tcMar>
              <w:top w:type="dxa" w:w="100"/>
              <w:left w:type="dxa" w:w="120"/>
              <w:bottom w:type="dxa" w:w="100"/>
              <w:right w:type="dxa" w:w="120"/>
            </w:tcMar>
            <w:vAlign w:val="top"/>
          </w:tcPr>
          <w:p>
            <w:pPr>
              <w:spacing w:before="0" w:after="100"/>
              <w:jc w:val="center"/>
            </w:pPr>
            <w:r>
              <w:rPr>
                <w:rFonts w:ascii="Arial" w:cs="Arial" w:eastAsia="Arial" w:hAnsi="Arial"/>
                <w:b/>
                <w:bCs/>
                <w:i w:val="false"/>
                <w:iCs w:val="false"/>
                <w:color w:val="FFFFFF"/>
                <w:sz w:val="18"/>
                <w:szCs w:val="18"/>
              </w:rPr>
              <w:t xml:space="preserve">Status: Approved</w:t>
            </w:r>
          </w:p>
        </w:tc>
        <w:tc>
          <w:tcPr>
            <w:tcW w:type="dxa" w:w="2610"/>
            <w:tcBorders>
              <w:top w:val="single" w:color="2E75B6" w:sz="2"/>
              <w:left w:val="single" w:color="2E75B6" w:sz="2"/>
              <w:bottom w:val="single" w:color="2E75B6" w:sz="2"/>
              <w:right w:val="single" w:color="2E75B6" w:sz="2"/>
            </w:tcBorders>
            <w:shd w:fill="2E75B6" w:val="clear"/>
            <w:tcMar>
              <w:top w:type="dxa" w:w="100"/>
              <w:left w:type="dxa" w:w="120"/>
              <w:bottom w:type="dxa" w:w="100"/>
              <w:right w:type="dxa" w:w="120"/>
            </w:tcMar>
            <w:vAlign w:val="top"/>
          </w:tcPr>
          <w:p>
            <w:pPr>
              <w:spacing w:before="0" w:after="100"/>
              <w:jc w:val="center"/>
            </w:pPr>
            <w:r>
              <w:rPr>
                <w:rFonts w:ascii="Arial" w:cs="Arial" w:eastAsia="Arial" w:hAnsi="Arial"/>
                <w:b/>
                <w:bCs/>
                <w:i w:val="false"/>
                <w:iCs w:val="false"/>
                <w:color w:val="FFFFFF"/>
                <w:sz w:val="18"/>
                <w:szCs w:val="18"/>
              </w:rPr>
              <w:t xml:space="preserve">Environment: Cloud-Native</w:t>
            </w:r>
          </w:p>
        </w:tc>
      </w:tr>
    </w:tbl>
    <w:p>
      <w:pPr>
        <w:spacing w:before="0" w:after="200"/>
      </w:pP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single" w:color="1F3864" w:sz="2"/>
              <w:left w:val="single" w:color="1F3864" w:sz="2"/>
              <w:bottom w:val="single" w:color="1F3864" w:sz="2"/>
              <w:right w:val="single" w:color="1F3864" w:sz="2"/>
            </w:tcBorders>
            <w:shd w:fill="1F3864" w:val="clear"/>
            <w:tcMar>
              <w:top w:type="dxa" w:w="140"/>
              <w:left w:type="dxa" w:w="240"/>
              <w:bottom w:type="dxa" w:w="140"/>
              <w:right w:type="dxa" w:w="240"/>
            </w:tcMar>
            <w:vAlign w:val="top"/>
          </w:tcPr>
          <w:p>
            <w:pPr>
              <w:spacing w:before="0" w:after="100"/>
              <w:jc w:val="left"/>
            </w:pPr>
            <w:r>
              <w:rPr>
                <w:rFonts w:ascii="Arial" w:cs="Arial" w:eastAsia="Arial" w:hAnsi="Arial"/>
                <w:b/>
                <w:bCs/>
                <w:i w:val="false"/>
                <w:iCs w:val="false"/>
                <w:color w:val="FFFFFF"/>
                <w:sz w:val="26"/>
                <w:szCs w:val="26"/>
              </w:rPr>
              <w:t xml:space="preserve">Task 1: CI/CD Pipeline Diagram</w:t>
            </w:r>
          </w:p>
        </w:tc>
      </w:tr>
    </w:tbl>
    <w:p>
      <w:pPr>
        <w:spacing w:before="0" w:after="80"/>
      </w:pPr>
    </w:p>
    <w:p>
      <w:pPr>
        <w:spacing w:before="0" w:after="140"/>
        <w:jc w:val="left"/>
      </w:pPr>
      <w:r>
        <w:rPr>
          <w:rFonts w:ascii="Arial" w:cs="Arial" w:eastAsia="Arial" w:hAnsi="Arial"/>
          <w:b w:val="false"/>
          <w:bCs w:val="false"/>
          <w:i w:val="false"/>
          <w:iCs w:val="false"/>
          <w:color w:val="333333"/>
          <w:sz w:val="19"/>
          <w:szCs w:val="19"/>
        </w:rPr>
        <w:t xml:space="preserve">The pipeline below implements nine stages for safe, automated, and compliant delivery of ABC Bank's core banking microservices. Each stage has an assigned role and defined control points enforcing DevSecOps, regulatory compliance (PCI-DSS, FFIEC), and zero-downtime deployment strategies.</w:t>
      </w:r>
    </w:p>
    <w:p>
      <w:pPr>
        <w:spacing w:before="0" w:after="160"/>
        <w:jc w:val="center"/>
      </w:pPr>
      <w:r>
        <w:drawing>
          <wp:inline distT="0" distB="0" distL="0" distR="0">
            <wp:extent cx="8572500" cy="5000625"/>
            <wp:effectExtent t="0" r="0" b="0" l="0"/>
            <wp:docPr id="1" name="CI/CD Pipeline Diagram" descr="Nine-stage CI/CD pipeline for ABC Ba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8572500" cy="5000625"/>
                    </a:xfrm>
                    <a:prstGeom prst="rect">
                      <a:avLst/>
                    </a:prstGeom>
                  </pic:spPr>
                </pic:pic>
              </a:graphicData>
            </a:graphic>
          </wp:inline>
        </w:drawing>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4240"/>
        <w:gridCol w:w="3200"/>
        <w:gridCol w:w="3000"/>
      </w:tblGrid>
      <w:tr>
        <w:tc>
          <w:tcPr>
            <w:tcW w:type="dxa" w:w="4240"/>
            <w:tcBorders>
              <w:top w:val="single" w:color="1F3864" w:sz="2"/>
              <w:left w:val="single" w:color="1F3864" w:sz="2"/>
              <w:bottom w:val="single" w:color="1F3864" w:sz="2"/>
              <w:right w:val="single" w:color="1F3864" w:sz="2"/>
            </w:tcBorders>
            <w:shd w:fill="1F3864" w:val="clear"/>
            <w:tcMar>
              <w:top w:type="dxa" w:w="100"/>
              <w:left w:type="dxa" w:w="120"/>
              <w:bottom w:type="dxa" w:w="100"/>
              <w:right w:type="dxa" w:w="120"/>
            </w:tcMar>
            <w:vAlign w:val="top"/>
          </w:tcPr>
          <w:p>
            <w:pPr>
              <w:spacing w:before="0" w:after="100"/>
              <w:jc w:val="left"/>
            </w:pPr>
            <w:r>
              <w:rPr>
                <w:rFonts w:ascii="Arial" w:cs="Arial" w:eastAsia="Arial" w:hAnsi="Arial"/>
                <w:b/>
                <w:bCs/>
                <w:i w:val="false"/>
                <w:iCs w:val="false"/>
                <w:color w:val="FFFFFF"/>
                <w:sz w:val="20"/>
                <w:szCs w:val="20"/>
              </w:rPr>
              <w:t xml:space="preserve">CI/CD Stage</w:t>
            </w:r>
          </w:p>
        </w:tc>
        <w:tc>
          <w:tcPr>
            <w:tcW w:type="dxa" w:w="3200"/>
            <w:tcBorders>
              <w:top w:val="single" w:color="1F3864" w:sz="2"/>
              <w:left w:val="single" w:color="1F3864" w:sz="2"/>
              <w:bottom w:val="single" w:color="1F3864" w:sz="2"/>
              <w:right w:val="single" w:color="1F3864" w:sz="2"/>
            </w:tcBorders>
            <w:shd w:fill="1F3864" w:val="clear"/>
            <w:tcMar>
              <w:top w:type="dxa" w:w="100"/>
              <w:left w:type="dxa" w:w="120"/>
              <w:bottom w:type="dxa" w:w="100"/>
              <w:right w:type="dxa" w:w="120"/>
            </w:tcMar>
            <w:vAlign w:val="top"/>
          </w:tcPr>
          <w:p>
            <w:pPr>
              <w:spacing w:before="0" w:after="100"/>
              <w:jc w:val="center"/>
            </w:pPr>
            <w:r>
              <w:rPr>
                <w:rFonts w:ascii="Arial" w:cs="Arial" w:eastAsia="Arial" w:hAnsi="Arial"/>
                <w:b/>
                <w:bCs/>
                <w:i w:val="false"/>
                <w:iCs w:val="false"/>
                <w:color w:val="FFFFFF"/>
                <w:sz w:val="20"/>
                <w:szCs w:val="20"/>
              </w:rPr>
              <w:t xml:space="preserve">Responsible Role</w:t>
            </w:r>
          </w:p>
        </w:tc>
        <w:tc>
          <w:tcPr>
            <w:tcW w:type="dxa" w:w="3000"/>
            <w:tcBorders>
              <w:top w:val="single" w:color="1F3864" w:sz="2"/>
              <w:left w:val="single" w:color="1F3864" w:sz="2"/>
              <w:bottom w:val="single" w:color="1F3864" w:sz="2"/>
              <w:right w:val="single" w:color="1F3864" w:sz="2"/>
            </w:tcBorders>
            <w:shd w:fill="1F3864" w:val="clear"/>
            <w:tcMar>
              <w:top w:type="dxa" w:w="100"/>
              <w:left w:type="dxa" w:w="120"/>
              <w:bottom w:type="dxa" w:w="100"/>
              <w:right w:type="dxa" w:w="120"/>
            </w:tcMar>
            <w:vAlign w:val="top"/>
          </w:tcPr>
          <w:p>
            <w:pPr>
              <w:spacing w:before="0" w:after="100"/>
              <w:jc w:val="left"/>
            </w:pPr>
            <w:r>
              <w:rPr>
                <w:rFonts w:ascii="Arial" w:cs="Arial" w:eastAsia="Arial" w:hAnsi="Arial"/>
                <w:b/>
                <w:bCs/>
                <w:i w:val="false"/>
                <w:iCs w:val="false"/>
                <w:color w:val="FFFFFF"/>
                <w:sz w:val="20"/>
                <w:szCs w:val="20"/>
              </w:rPr>
              <w:t xml:space="preserve">Key Control Point</w:t>
            </w:r>
          </w:p>
        </w:tc>
      </w:tr>
      <w:tr>
        <w:tc>
          <w:tcPr>
            <w:tcW w:type="dxa" w:w="424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1F3864"/>
                <w:sz w:val="19"/>
                <w:szCs w:val="19"/>
              </w:rPr>
              <w:t xml:space="preserve">1. Code Commit — Source &amp; secret scanning</w:t>
            </w:r>
          </w:p>
        </w:tc>
        <w:tc>
          <w:tcPr>
            <w:tcW w:type="dxa" w:w="3200"/>
            <w:tcBorders>
              <w:top w:val="single" w:color="CCCCCC" w:sz="2"/>
              <w:left w:val="single" w:color="CCCCCC" w:sz="2"/>
              <w:bottom w:val="single" w:color="CCCCCC" w:sz="2"/>
              <w:right w:val="single" w:color="CCCCCC" w:sz="2"/>
            </w:tcBorders>
            <w:shd w:fill="D6E4F0" w:val="clear"/>
            <w:tcMar>
              <w:top w:type="dxa" w:w="80"/>
              <w:left w:type="dxa" w:w="120"/>
              <w:bottom w:type="dxa" w:w="80"/>
              <w:right w:type="dxa" w:w="120"/>
            </w:tcMar>
            <w:vAlign w:val="center"/>
          </w:tcPr>
          <w:p>
            <w:pPr>
              <w:spacing w:before="0" w:after="100"/>
              <w:jc w:val="center"/>
            </w:pPr>
            <w:r>
              <w:rPr>
                <w:rFonts w:ascii="Arial" w:cs="Arial" w:eastAsia="Arial" w:hAnsi="Arial"/>
                <w:b w:val="false"/>
                <w:bCs w:val="false"/>
                <w:i w:val="false"/>
                <w:iCs w:val="false"/>
                <w:color w:val="111111"/>
                <w:sz w:val="19"/>
                <w:szCs w:val="19"/>
              </w:rPr>
              <w:t xml:space="preserve">Developer</w:t>
            </w:r>
          </w:p>
        </w:tc>
        <w:tc>
          <w:tcPr>
            <w:tcW w:type="dxa" w:w="3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iCs/>
                <w:color w:val="555555"/>
                <w:sz w:val="18"/>
                <w:szCs w:val="18"/>
              </w:rPr>
              <w:t xml:space="preserve">Pre-commit secret scan blocks credentials in code</w:t>
            </w:r>
          </w:p>
        </w:tc>
      </w:tr>
      <w:tr>
        <w:tc>
          <w:tcPr>
            <w:tcW w:type="dxa" w:w="424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1F3864"/>
                <w:sz w:val="19"/>
                <w:szCs w:val="19"/>
              </w:rPr>
              <w:t xml:space="preserve">2. Build Stage — Compile, unit test, package</w:t>
            </w:r>
          </w:p>
        </w:tc>
        <w:tc>
          <w:tcPr>
            <w:tcW w:type="dxa" w:w="3200"/>
            <w:tcBorders>
              <w:top w:val="single" w:color="CCCCCC" w:sz="2"/>
              <w:left w:val="single" w:color="CCCCCC" w:sz="2"/>
              <w:bottom w:val="single" w:color="CCCCCC" w:sz="2"/>
              <w:right w:val="single" w:color="CCCCCC" w:sz="2"/>
            </w:tcBorders>
            <w:shd w:fill="EBF5FB" w:val="clear"/>
            <w:tcMar>
              <w:top w:type="dxa" w:w="80"/>
              <w:left w:type="dxa" w:w="120"/>
              <w:bottom w:type="dxa" w:w="80"/>
              <w:right w:type="dxa" w:w="120"/>
            </w:tcMar>
            <w:vAlign w:val="center"/>
          </w:tcPr>
          <w:p>
            <w:pPr>
              <w:spacing w:before="0" w:after="100"/>
              <w:jc w:val="center"/>
            </w:pPr>
            <w:r>
              <w:rPr>
                <w:rFonts w:ascii="Arial" w:cs="Arial" w:eastAsia="Arial" w:hAnsi="Arial"/>
                <w:b w:val="false"/>
                <w:bCs w:val="false"/>
                <w:i w:val="false"/>
                <w:iCs w:val="false"/>
                <w:color w:val="111111"/>
                <w:sz w:val="19"/>
                <w:szCs w:val="19"/>
              </w:rPr>
              <w:t xml:space="preserve">DevOps Engineer</w:t>
            </w:r>
          </w:p>
        </w:tc>
        <w:tc>
          <w:tcPr>
            <w:tcW w:type="dxa" w:w="30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iCs/>
                <w:color w:val="555555"/>
                <w:sz w:val="18"/>
                <w:szCs w:val="18"/>
              </w:rPr>
              <w:t xml:space="preserve">Build fails if unit test coverage &lt; 80%</w:t>
            </w:r>
          </w:p>
        </w:tc>
      </w:tr>
      <w:tr>
        <w:tc>
          <w:tcPr>
            <w:tcW w:type="dxa" w:w="424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1F3864"/>
                <w:sz w:val="19"/>
                <w:szCs w:val="19"/>
              </w:rPr>
              <w:t xml:space="preserve">3. Security Gate — SAST, dependency, image scan</w:t>
            </w:r>
          </w:p>
        </w:tc>
        <w:tc>
          <w:tcPr>
            <w:tcW w:type="dxa" w:w="3200"/>
            <w:tcBorders>
              <w:top w:val="single" w:color="CCCCCC" w:sz="2"/>
              <w:left w:val="single" w:color="CCCCCC" w:sz="2"/>
              <w:bottom w:val="single" w:color="CCCCCC" w:sz="2"/>
              <w:right w:val="single" w:color="CCCCCC" w:sz="2"/>
            </w:tcBorders>
            <w:shd w:fill="D6E4F0" w:val="clear"/>
            <w:tcMar>
              <w:top w:type="dxa" w:w="80"/>
              <w:left w:type="dxa" w:w="120"/>
              <w:bottom w:type="dxa" w:w="80"/>
              <w:right w:type="dxa" w:w="120"/>
            </w:tcMar>
            <w:vAlign w:val="center"/>
          </w:tcPr>
          <w:p>
            <w:pPr>
              <w:spacing w:before="0" w:after="100"/>
              <w:jc w:val="center"/>
            </w:pPr>
            <w:r>
              <w:rPr>
                <w:rFonts w:ascii="Arial" w:cs="Arial" w:eastAsia="Arial" w:hAnsi="Arial"/>
                <w:b w:val="false"/>
                <w:bCs w:val="false"/>
                <w:i w:val="false"/>
                <w:iCs w:val="false"/>
                <w:color w:val="111111"/>
                <w:sz w:val="19"/>
                <w:szCs w:val="19"/>
              </w:rPr>
              <w:t xml:space="preserve">DevSecOps Engineer</w:t>
            </w:r>
          </w:p>
        </w:tc>
        <w:tc>
          <w:tcPr>
            <w:tcW w:type="dxa" w:w="3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iCs/>
                <w:color w:val="555555"/>
                <w:sz w:val="18"/>
                <w:szCs w:val="18"/>
              </w:rPr>
              <w:t xml:space="preserve">Critical CVEs block pipeline progression</w:t>
            </w:r>
          </w:p>
        </w:tc>
      </w:tr>
      <w:tr>
        <w:tc>
          <w:tcPr>
            <w:tcW w:type="dxa" w:w="424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1F3864"/>
                <w:sz w:val="19"/>
                <w:szCs w:val="19"/>
              </w:rPr>
              <w:t xml:space="preserve">4. Automated Testing — Integration, API, regression</w:t>
            </w:r>
          </w:p>
        </w:tc>
        <w:tc>
          <w:tcPr>
            <w:tcW w:type="dxa" w:w="3200"/>
            <w:tcBorders>
              <w:top w:val="single" w:color="CCCCCC" w:sz="2"/>
              <w:left w:val="single" w:color="CCCCCC" w:sz="2"/>
              <w:bottom w:val="single" w:color="CCCCCC" w:sz="2"/>
              <w:right w:val="single" w:color="CCCCCC" w:sz="2"/>
            </w:tcBorders>
            <w:shd w:fill="EBF5FB" w:val="clear"/>
            <w:tcMar>
              <w:top w:type="dxa" w:w="80"/>
              <w:left w:type="dxa" w:w="120"/>
              <w:bottom w:type="dxa" w:w="80"/>
              <w:right w:type="dxa" w:w="120"/>
            </w:tcMar>
            <w:vAlign w:val="center"/>
          </w:tcPr>
          <w:p>
            <w:pPr>
              <w:spacing w:before="0" w:after="100"/>
              <w:jc w:val="center"/>
            </w:pPr>
            <w:r>
              <w:rPr>
                <w:rFonts w:ascii="Arial" w:cs="Arial" w:eastAsia="Arial" w:hAnsi="Arial"/>
                <w:b w:val="false"/>
                <w:bCs w:val="false"/>
                <w:i w:val="false"/>
                <w:iCs w:val="false"/>
                <w:color w:val="111111"/>
                <w:sz w:val="19"/>
                <w:szCs w:val="19"/>
              </w:rPr>
              <w:t xml:space="preserve">QA Engineer</w:t>
            </w:r>
          </w:p>
        </w:tc>
        <w:tc>
          <w:tcPr>
            <w:tcW w:type="dxa" w:w="30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iCs/>
                <w:color w:val="555555"/>
                <w:sz w:val="18"/>
                <w:szCs w:val="18"/>
              </w:rPr>
              <w:t xml:space="preserve">All 3 test suites must pass with zero failures</w:t>
            </w:r>
          </w:p>
        </w:tc>
      </w:tr>
      <w:tr>
        <w:tc>
          <w:tcPr>
            <w:tcW w:type="dxa" w:w="424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1F3864"/>
                <w:sz w:val="19"/>
                <w:szCs w:val="19"/>
              </w:rPr>
              <w:t xml:space="preserve">5. Staging Deployment — Deploy + synthetic tests</w:t>
            </w:r>
          </w:p>
        </w:tc>
        <w:tc>
          <w:tcPr>
            <w:tcW w:type="dxa" w:w="3200"/>
            <w:tcBorders>
              <w:top w:val="single" w:color="CCCCCC" w:sz="2"/>
              <w:left w:val="single" w:color="CCCCCC" w:sz="2"/>
              <w:bottom w:val="single" w:color="CCCCCC" w:sz="2"/>
              <w:right w:val="single" w:color="CCCCCC" w:sz="2"/>
            </w:tcBorders>
            <w:shd w:fill="D6E4F0" w:val="clear"/>
            <w:tcMar>
              <w:top w:type="dxa" w:w="80"/>
              <w:left w:type="dxa" w:w="120"/>
              <w:bottom w:type="dxa" w:w="80"/>
              <w:right w:type="dxa" w:w="120"/>
            </w:tcMar>
            <w:vAlign w:val="center"/>
          </w:tcPr>
          <w:p>
            <w:pPr>
              <w:spacing w:before="0" w:after="100"/>
              <w:jc w:val="center"/>
            </w:pPr>
            <w:r>
              <w:rPr>
                <w:rFonts w:ascii="Arial" w:cs="Arial" w:eastAsia="Arial" w:hAnsi="Arial"/>
                <w:b w:val="false"/>
                <w:bCs w:val="false"/>
                <w:i w:val="false"/>
                <w:iCs w:val="false"/>
                <w:color w:val="111111"/>
                <w:sz w:val="19"/>
                <w:szCs w:val="19"/>
              </w:rPr>
              <w:t xml:space="preserve">DevOps Engineer</w:t>
            </w:r>
          </w:p>
        </w:tc>
        <w:tc>
          <w:tcPr>
            <w:tcW w:type="dxa" w:w="3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iCs/>
                <w:color w:val="555555"/>
                <w:sz w:val="18"/>
                <w:szCs w:val="18"/>
              </w:rPr>
              <w:t xml:space="preserve">Synthetic test suite validates staging health</w:t>
            </w:r>
          </w:p>
        </w:tc>
      </w:tr>
      <w:tr>
        <w:tc>
          <w:tcPr>
            <w:tcW w:type="dxa" w:w="424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1F3864"/>
                <w:sz w:val="19"/>
                <w:szCs w:val="19"/>
              </w:rPr>
              <w:t xml:space="preserve">6. Approval Gate — Arch, QA, change-management</w:t>
            </w:r>
          </w:p>
        </w:tc>
        <w:tc>
          <w:tcPr>
            <w:tcW w:type="dxa" w:w="3200"/>
            <w:tcBorders>
              <w:top w:val="single" w:color="CCCCCC" w:sz="2"/>
              <w:left w:val="single" w:color="CCCCCC" w:sz="2"/>
              <w:bottom w:val="single" w:color="CCCCCC" w:sz="2"/>
              <w:right w:val="single" w:color="CCCCCC" w:sz="2"/>
            </w:tcBorders>
            <w:shd w:fill="EBF5FB" w:val="clear"/>
            <w:tcMar>
              <w:top w:type="dxa" w:w="80"/>
              <w:left w:type="dxa" w:w="120"/>
              <w:bottom w:type="dxa" w:w="80"/>
              <w:right w:type="dxa" w:w="120"/>
            </w:tcMar>
            <w:vAlign w:val="center"/>
          </w:tcPr>
          <w:p>
            <w:pPr>
              <w:spacing w:before="0" w:after="100"/>
              <w:jc w:val="center"/>
            </w:pPr>
            <w:r>
              <w:rPr>
                <w:rFonts w:ascii="Arial" w:cs="Arial" w:eastAsia="Arial" w:hAnsi="Arial"/>
                <w:b w:val="false"/>
                <w:bCs w:val="false"/>
                <w:i w:val="false"/>
                <w:iCs w:val="false"/>
                <w:color w:val="111111"/>
                <w:sz w:val="19"/>
                <w:szCs w:val="19"/>
              </w:rPr>
              <w:t xml:space="preserve">Architect / Release Mgr</w:t>
            </w:r>
          </w:p>
        </w:tc>
        <w:tc>
          <w:tcPr>
            <w:tcW w:type="dxa" w:w="30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iCs/>
                <w:color w:val="555555"/>
                <w:sz w:val="18"/>
                <w:szCs w:val="18"/>
              </w:rPr>
              <w:t xml:space="preserve">Manual 3-way sign-off required before production</w:t>
            </w:r>
          </w:p>
        </w:tc>
      </w:tr>
      <w:tr>
        <w:tc>
          <w:tcPr>
            <w:tcW w:type="dxa" w:w="424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1F3864"/>
                <w:sz w:val="19"/>
                <w:szCs w:val="19"/>
              </w:rPr>
              <w:t xml:space="preserve">7. Production Deployment — Blue-green / canary</w:t>
            </w:r>
          </w:p>
        </w:tc>
        <w:tc>
          <w:tcPr>
            <w:tcW w:type="dxa" w:w="3200"/>
            <w:tcBorders>
              <w:top w:val="single" w:color="CCCCCC" w:sz="2"/>
              <w:left w:val="single" w:color="CCCCCC" w:sz="2"/>
              <w:bottom w:val="single" w:color="CCCCCC" w:sz="2"/>
              <w:right w:val="single" w:color="CCCCCC" w:sz="2"/>
            </w:tcBorders>
            <w:shd w:fill="D6E4F0" w:val="clear"/>
            <w:tcMar>
              <w:top w:type="dxa" w:w="80"/>
              <w:left w:type="dxa" w:w="120"/>
              <w:bottom w:type="dxa" w:w="80"/>
              <w:right w:type="dxa" w:w="120"/>
            </w:tcMar>
            <w:vAlign w:val="center"/>
          </w:tcPr>
          <w:p>
            <w:pPr>
              <w:spacing w:before="0" w:after="100"/>
              <w:jc w:val="center"/>
            </w:pPr>
            <w:r>
              <w:rPr>
                <w:rFonts w:ascii="Arial" w:cs="Arial" w:eastAsia="Arial" w:hAnsi="Arial"/>
                <w:b w:val="false"/>
                <w:bCs w:val="false"/>
                <w:i w:val="false"/>
                <w:iCs w:val="false"/>
                <w:color w:val="111111"/>
                <w:sz w:val="19"/>
                <w:szCs w:val="19"/>
              </w:rPr>
              <w:t xml:space="preserve">DevOps Engineer</w:t>
            </w:r>
          </w:p>
        </w:tc>
        <w:tc>
          <w:tcPr>
            <w:tcW w:type="dxa" w:w="3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iCs/>
                <w:color w:val="555555"/>
                <w:sz w:val="18"/>
                <w:szCs w:val="18"/>
              </w:rPr>
              <w:t xml:space="preserve">Traffic shifted 10% → 50% → 100% over 30 minutes</w:t>
            </w:r>
          </w:p>
        </w:tc>
      </w:tr>
      <w:tr>
        <w:tc>
          <w:tcPr>
            <w:tcW w:type="dxa" w:w="424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1F3864"/>
                <w:sz w:val="19"/>
                <w:szCs w:val="19"/>
              </w:rPr>
              <w:t xml:space="preserve">8. Rollback Strategy — Triggers, re-route, auto-revert</w:t>
            </w:r>
          </w:p>
        </w:tc>
        <w:tc>
          <w:tcPr>
            <w:tcW w:type="dxa" w:w="3200"/>
            <w:tcBorders>
              <w:top w:val="single" w:color="CCCCCC" w:sz="2"/>
              <w:left w:val="single" w:color="CCCCCC" w:sz="2"/>
              <w:bottom w:val="single" w:color="CCCCCC" w:sz="2"/>
              <w:right w:val="single" w:color="CCCCCC" w:sz="2"/>
            </w:tcBorders>
            <w:shd w:fill="EBF5FB" w:val="clear"/>
            <w:tcMar>
              <w:top w:type="dxa" w:w="80"/>
              <w:left w:type="dxa" w:w="120"/>
              <w:bottom w:type="dxa" w:w="80"/>
              <w:right w:type="dxa" w:w="120"/>
            </w:tcMar>
            <w:vAlign w:val="center"/>
          </w:tcPr>
          <w:p>
            <w:pPr>
              <w:spacing w:before="0" w:after="100"/>
              <w:jc w:val="center"/>
            </w:pPr>
            <w:r>
              <w:rPr>
                <w:rFonts w:ascii="Arial" w:cs="Arial" w:eastAsia="Arial" w:hAnsi="Arial"/>
                <w:b w:val="false"/>
                <w:bCs w:val="false"/>
                <w:i w:val="false"/>
                <w:iCs w:val="false"/>
                <w:color w:val="111111"/>
                <w:sz w:val="19"/>
                <w:szCs w:val="19"/>
              </w:rPr>
              <w:t xml:space="preserve">DevOps Engineer</w:t>
            </w:r>
          </w:p>
        </w:tc>
        <w:tc>
          <w:tcPr>
            <w:tcW w:type="dxa" w:w="30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iCs/>
                <w:color w:val="555555"/>
                <w:sz w:val="18"/>
                <w:szCs w:val="18"/>
              </w:rPr>
              <w:t xml:space="preserve">Automated revert if error rate exceeds 1%</w:t>
            </w:r>
          </w:p>
        </w:tc>
      </w:tr>
      <w:tr>
        <w:tc>
          <w:tcPr>
            <w:tcW w:type="dxa" w:w="424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1F3864"/>
                <w:sz w:val="19"/>
                <w:szCs w:val="19"/>
              </w:rPr>
              <w:t xml:space="preserve">9. Audit &amp; Compliance Logging</w:t>
            </w:r>
          </w:p>
        </w:tc>
        <w:tc>
          <w:tcPr>
            <w:tcW w:type="dxa" w:w="3200"/>
            <w:tcBorders>
              <w:top w:val="single" w:color="CCCCCC" w:sz="2"/>
              <w:left w:val="single" w:color="CCCCCC" w:sz="2"/>
              <w:bottom w:val="single" w:color="CCCCCC" w:sz="2"/>
              <w:right w:val="single" w:color="CCCCCC" w:sz="2"/>
            </w:tcBorders>
            <w:shd w:fill="D6E4F0" w:val="clear"/>
            <w:tcMar>
              <w:top w:type="dxa" w:w="80"/>
              <w:left w:type="dxa" w:w="120"/>
              <w:bottom w:type="dxa" w:w="80"/>
              <w:right w:type="dxa" w:w="120"/>
            </w:tcMar>
            <w:vAlign w:val="center"/>
          </w:tcPr>
          <w:p>
            <w:pPr>
              <w:spacing w:before="0" w:after="100"/>
              <w:jc w:val="center"/>
            </w:pPr>
            <w:r>
              <w:rPr>
                <w:rFonts w:ascii="Arial" w:cs="Arial" w:eastAsia="Arial" w:hAnsi="Arial"/>
                <w:b w:val="false"/>
                <w:bCs w:val="false"/>
                <w:i w:val="false"/>
                <w:iCs w:val="false"/>
                <w:color w:val="111111"/>
                <w:sz w:val="19"/>
                <w:szCs w:val="19"/>
              </w:rPr>
              <w:t xml:space="preserve">Compliance Officer</w:t>
            </w:r>
          </w:p>
        </w:tc>
        <w:tc>
          <w:tcPr>
            <w:tcW w:type="dxa" w:w="3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iCs/>
                <w:color w:val="555555"/>
                <w:sz w:val="18"/>
                <w:szCs w:val="18"/>
              </w:rPr>
              <w:t xml:space="preserve">All events retained per PCI-DSS &amp; FFIEC requirements</w:t>
            </w:r>
          </w:p>
        </w:tc>
      </w:tr>
    </w:tbl>
    <w:p>
      <w:pPr>
        <w:spacing w:before="0" w:after="200"/>
      </w:pP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single" w:color="1F3864" w:sz="2"/>
              <w:left w:val="single" w:color="1F3864" w:sz="2"/>
              <w:bottom w:val="single" w:color="1F3864" w:sz="2"/>
              <w:right w:val="single" w:color="1F3864" w:sz="2"/>
            </w:tcBorders>
            <w:shd w:fill="1F3864" w:val="clear"/>
            <w:tcMar>
              <w:top w:type="dxa" w:w="140"/>
              <w:left w:type="dxa" w:w="240"/>
              <w:bottom w:type="dxa" w:w="140"/>
              <w:right w:type="dxa" w:w="240"/>
            </w:tcMar>
            <w:vAlign w:val="top"/>
          </w:tcPr>
          <w:p>
            <w:pPr>
              <w:spacing w:before="0" w:after="100"/>
              <w:jc w:val="left"/>
            </w:pPr>
            <w:r>
              <w:rPr>
                <w:rFonts w:ascii="Arial" w:cs="Arial" w:eastAsia="Arial" w:hAnsi="Arial"/>
                <w:b/>
                <w:bCs/>
                <w:i w:val="false"/>
                <w:iCs w:val="false"/>
                <w:color w:val="FFFFFF"/>
                <w:sz w:val="26"/>
                <w:szCs w:val="26"/>
              </w:rPr>
              <w:t xml:space="preserve">Task 2: Deployment Risk Strategy</w:t>
            </w:r>
          </w:p>
        </w:tc>
      </w:tr>
    </w:tbl>
    <w:p>
      <w:pPr>
        <w:spacing w:before="0" w:after="80"/>
      </w:pPr>
    </w:p>
    <w:p>
      <w:pPr>
        <w:spacing w:before="0" w:after="120"/>
        <w:jc w:val="left"/>
      </w:pPr>
      <w:r>
        <w:rPr>
          <w:rFonts w:ascii="Arial" w:cs="Arial" w:eastAsia="Arial" w:hAnsi="Arial"/>
          <w:b w:val="false"/>
          <w:bCs w:val="false"/>
          <w:i w:val="false"/>
          <w:iCs w:val="false"/>
          <w:color w:val="333333"/>
          <w:sz w:val="19"/>
          <w:szCs w:val="19"/>
        </w:rPr>
        <w:t xml:space="preserve">The following table documents five deployment risks for the high-availability banking environment, with corresponding triggers, mitigation strategies, and rollback mechanisms.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3240"/>
        <w:gridCol w:w="3000"/>
      </w:tblGrid>
      <w:tr>
        <w:tc>
          <w:tcPr>
            <w:tcW w:type="dxa" w:w="2000"/>
            <w:tcBorders>
              <w:top w:val="single" w:color="1F3864" w:sz="2"/>
              <w:left w:val="single" w:color="1F3864" w:sz="2"/>
              <w:bottom w:val="single" w:color="1F3864" w:sz="2"/>
              <w:right w:val="single" w:color="1F3864" w:sz="2"/>
            </w:tcBorders>
            <w:shd w:fill="1F3864" w:val="clear"/>
            <w:tcMar>
              <w:top w:type="dxa" w:w="100"/>
              <w:left w:type="dxa" w:w="120"/>
              <w:bottom w:type="dxa" w:w="100"/>
              <w:right w:type="dxa" w:w="120"/>
            </w:tcMar>
            <w:vAlign w:val="top"/>
          </w:tcPr>
          <w:p>
            <w:pPr>
              <w:spacing w:before="0" w:after="100"/>
              <w:jc w:val="left"/>
            </w:pPr>
            <w:r>
              <w:rPr>
                <w:rFonts w:ascii="Arial" w:cs="Arial" w:eastAsia="Arial" w:hAnsi="Arial"/>
                <w:b/>
                <w:bCs/>
                <w:i w:val="false"/>
                <w:iCs w:val="false"/>
                <w:color w:val="FFFFFF"/>
                <w:sz w:val="20"/>
                <w:szCs w:val="20"/>
              </w:rPr>
              <w:t xml:space="preserve">Risk</w:t>
            </w:r>
          </w:p>
        </w:tc>
        <w:tc>
          <w:tcPr>
            <w:tcW w:type="dxa" w:w="2200"/>
            <w:tcBorders>
              <w:top w:val="single" w:color="1F3864" w:sz="2"/>
              <w:left w:val="single" w:color="1F3864" w:sz="2"/>
              <w:bottom w:val="single" w:color="1F3864" w:sz="2"/>
              <w:right w:val="single" w:color="1F3864" w:sz="2"/>
            </w:tcBorders>
            <w:shd w:fill="1F3864" w:val="clear"/>
            <w:tcMar>
              <w:top w:type="dxa" w:w="100"/>
              <w:left w:type="dxa" w:w="120"/>
              <w:bottom w:type="dxa" w:w="100"/>
              <w:right w:type="dxa" w:w="120"/>
            </w:tcMar>
            <w:vAlign w:val="top"/>
          </w:tcPr>
          <w:p>
            <w:pPr>
              <w:spacing w:before="0" w:after="100"/>
              <w:jc w:val="left"/>
            </w:pPr>
            <w:r>
              <w:rPr>
                <w:rFonts w:ascii="Arial" w:cs="Arial" w:eastAsia="Arial" w:hAnsi="Arial"/>
                <w:b/>
                <w:bCs/>
                <w:i w:val="false"/>
                <w:iCs w:val="false"/>
                <w:color w:val="FFFFFF"/>
                <w:sz w:val="20"/>
                <w:szCs w:val="20"/>
              </w:rPr>
              <w:t xml:space="preserve">Trigger</w:t>
            </w:r>
          </w:p>
        </w:tc>
        <w:tc>
          <w:tcPr>
            <w:tcW w:type="dxa" w:w="3240"/>
            <w:tcBorders>
              <w:top w:val="single" w:color="1F3864" w:sz="2"/>
              <w:left w:val="single" w:color="1F3864" w:sz="2"/>
              <w:bottom w:val="single" w:color="1F3864" w:sz="2"/>
              <w:right w:val="single" w:color="1F3864" w:sz="2"/>
            </w:tcBorders>
            <w:shd w:fill="1F3864" w:val="clear"/>
            <w:tcMar>
              <w:top w:type="dxa" w:w="100"/>
              <w:left w:type="dxa" w:w="120"/>
              <w:bottom w:type="dxa" w:w="100"/>
              <w:right w:type="dxa" w:w="120"/>
            </w:tcMar>
            <w:vAlign w:val="top"/>
          </w:tcPr>
          <w:p>
            <w:pPr>
              <w:spacing w:before="0" w:after="100"/>
              <w:jc w:val="left"/>
            </w:pPr>
            <w:r>
              <w:rPr>
                <w:rFonts w:ascii="Arial" w:cs="Arial" w:eastAsia="Arial" w:hAnsi="Arial"/>
                <w:b/>
                <w:bCs/>
                <w:i w:val="false"/>
                <w:iCs w:val="false"/>
                <w:color w:val="FFFFFF"/>
                <w:sz w:val="20"/>
                <w:szCs w:val="20"/>
              </w:rPr>
              <w:t xml:space="preserve">Mitigation Strategy</w:t>
            </w:r>
          </w:p>
        </w:tc>
        <w:tc>
          <w:tcPr>
            <w:tcW w:type="dxa" w:w="3000"/>
            <w:tcBorders>
              <w:top w:val="single" w:color="1F3864" w:sz="2"/>
              <w:left w:val="single" w:color="1F3864" w:sz="2"/>
              <w:bottom w:val="single" w:color="1F3864" w:sz="2"/>
              <w:right w:val="single" w:color="1F3864" w:sz="2"/>
            </w:tcBorders>
            <w:shd w:fill="1F3864" w:val="clear"/>
            <w:tcMar>
              <w:top w:type="dxa" w:w="100"/>
              <w:left w:type="dxa" w:w="120"/>
              <w:bottom w:type="dxa" w:w="100"/>
              <w:right w:type="dxa" w:w="120"/>
            </w:tcMar>
            <w:vAlign w:val="top"/>
          </w:tcPr>
          <w:p>
            <w:pPr>
              <w:spacing w:before="0" w:after="100"/>
              <w:jc w:val="left"/>
            </w:pPr>
            <w:r>
              <w:rPr>
                <w:rFonts w:ascii="Arial" w:cs="Arial" w:eastAsia="Arial" w:hAnsi="Arial"/>
                <w:b/>
                <w:bCs/>
                <w:i w:val="false"/>
                <w:iCs w:val="false"/>
                <w:color w:val="FFFFFF"/>
                <w:sz w:val="20"/>
                <w:szCs w:val="20"/>
              </w:rPr>
              <w:t xml:space="preserve">Rollback Plan</w:t>
            </w:r>
          </w:p>
        </w:tc>
      </w:tr>
      <w:tr>
        <w:tc>
          <w:tcPr>
            <w:tcW w:type="dxa" w:w="2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1F3864"/>
                <w:sz w:val="19"/>
                <w:szCs w:val="19"/>
              </w:rPr>
              <w:t xml:space="preserve">Deployment Failure</w:t>
            </w:r>
          </w:p>
        </w:tc>
        <w:tc>
          <w:tcPr>
            <w:tcW w:type="dxa" w:w="2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111111"/>
                <w:sz w:val="19"/>
                <w:szCs w:val="19"/>
              </w:rPr>
              <w:t xml:space="preserve">Failed health checks on ≥2 pods within 5 minutes of deploy</w:t>
            </w:r>
          </w:p>
        </w:tc>
        <w:tc>
          <w:tcPr>
            <w:tcW w:type="dxa" w:w="324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111111"/>
                <w:sz w:val="19"/>
                <w:szCs w:val="19"/>
              </w:rPr>
              <w:t xml:space="preserve">Canary deployment: route 10% traffic first; monitor error rate for 10 minutes before promoting</w:t>
            </w:r>
          </w:p>
        </w:tc>
        <w:tc>
          <w:tcPr>
            <w:tcW w:type="dxa" w:w="3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111111"/>
                <w:sz w:val="19"/>
                <w:szCs w:val="19"/>
              </w:rPr>
              <w:t xml:space="preserve">Auto-revert to previous container image version; Kubernetes rollout undo command</w:t>
            </w:r>
          </w:p>
        </w:tc>
      </w:tr>
      <w:tr>
        <w:tc>
          <w:tcPr>
            <w:tcW w:type="dxa" w:w="20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1F3864"/>
                <w:sz w:val="19"/>
                <w:szCs w:val="19"/>
              </w:rPr>
              <w:t xml:space="preserve">API Incompatibility</w:t>
            </w:r>
          </w:p>
        </w:tc>
        <w:tc>
          <w:tcPr>
            <w:tcW w:type="dxa" w:w="22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111111"/>
                <w:sz w:val="19"/>
                <w:szCs w:val="19"/>
              </w:rPr>
              <w:t xml:space="preserve">4xx / 5xx spike &gt;2% on API Gateway immediately after release</w:t>
            </w:r>
          </w:p>
        </w:tc>
        <w:tc>
          <w:tcPr>
            <w:tcW w:type="dxa" w:w="324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111111"/>
                <w:sz w:val="19"/>
                <w:szCs w:val="19"/>
              </w:rPr>
              <w:t xml:space="preserve">Contract testing (Pact) between all microservices; versioned API endpoints with backward-compatibility checks</w:t>
            </w:r>
          </w:p>
        </w:tc>
        <w:tc>
          <w:tcPr>
            <w:tcW w:type="dxa" w:w="30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111111"/>
                <w:sz w:val="19"/>
                <w:szCs w:val="19"/>
              </w:rPr>
              <w:t xml:space="preserve">Blue-green swap: redirect all traffic to green (stable) environment within 60 seconds</w:t>
            </w:r>
          </w:p>
        </w:tc>
      </w:tr>
      <w:tr>
        <w:tc>
          <w:tcPr>
            <w:tcW w:type="dxa" w:w="2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1F3864"/>
                <w:sz w:val="19"/>
                <w:szCs w:val="19"/>
              </w:rPr>
              <w:t xml:space="preserve">Config / Secret Error</w:t>
            </w:r>
          </w:p>
        </w:tc>
        <w:tc>
          <w:tcPr>
            <w:tcW w:type="dxa" w:w="2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111111"/>
                <w:sz w:val="19"/>
                <w:szCs w:val="19"/>
              </w:rPr>
              <w:t xml:space="preserve">Service fails to start due to missing environment variable or misconfigured secret</w:t>
            </w:r>
          </w:p>
        </w:tc>
        <w:tc>
          <w:tcPr>
            <w:tcW w:type="dxa" w:w="324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111111"/>
                <w:sz w:val="19"/>
                <w:szCs w:val="19"/>
              </w:rPr>
              <w:t xml:space="preserve">Secret rotation via IBM Secrets Manager prior to deploy; config diff check in CI pipeline against known-good baseline</w:t>
            </w:r>
          </w:p>
        </w:tc>
        <w:tc>
          <w:tcPr>
            <w:tcW w:type="dxa" w:w="3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111111"/>
                <w:sz w:val="19"/>
                <w:szCs w:val="19"/>
              </w:rPr>
              <w:t xml:space="preserve">Redeploy with last known working config snapshot from version-controlled config store</w:t>
            </w:r>
          </w:p>
        </w:tc>
      </w:tr>
      <w:tr>
        <w:tc>
          <w:tcPr>
            <w:tcW w:type="dxa" w:w="20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1F3864"/>
                <w:sz w:val="19"/>
                <w:szCs w:val="19"/>
              </w:rPr>
              <w:t xml:space="preserve">Database Migration Failure</w:t>
            </w:r>
          </w:p>
        </w:tc>
        <w:tc>
          <w:tcPr>
            <w:tcW w:type="dxa" w:w="22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111111"/>
                <w:sz w:val="19"/>
                <w:szCs w:val="19"/>
              </w:rPr>
              <w:t xml:space="preserve">Schema migration script exits non-zero or data validation fails post-migration</w:t>
            </w:r>
          </w:p>
        </w:tc>
        <w:tc>
          <w:tcPr>
            <w:tcW w:type="dxa" w:w="324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111111"/>
                <w:sz w:val="19"/>
                <w:szCs w:val="19"/>
              </w:rPr>
              <w:t xml:space="preserve">Run migration in dry-run mode first; take automated DB snapshot before every migration; use backward-compatible schema changes</w:t>
            </w:r>
          </w:p>
        </w:tc>
        <w:tc>
          <w:tcPr>
            <w:tcW w:type="dxa" w:w="30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111111"/>
                <w:sz w:val="19"/>
                <w:szCs w:val="19"/>
              </w:rPr>
              <w:t xml:space="preserve">Restore from pre-migration snapshot; revert application to previous version; alert DBA on-call</w:t>
            </w:r>
          </w:p>
        </w:tc>
      </w:tr>
      <w:tr>
        <w:tc>
          <w:tcPr>
            <w:tcW w:type="dxa" w:w="2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1F3864"/>
                <w:sz w:val="19"/>
                <w:szCs w:val="19"/>
              </w:rPr>
              <w:t xml:space="preserve">Security Gate Regression</w:t>
            </w:r>
          </w:p>
        </w:tc>
        <w:tc>
          <w:tcPr>
            <w:tcW w:type="dxa" w:w="2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111111"/>
                <w:sz w:val="19"/>
                <w:szCs w:val="19"/>
              </w:rPr>
              <w:t xml:space="preserve">SAST scan detects new Critical CVE in code that passed previous pipeline</w:t>
            </w:r>
          </w:p>
        </w:tc>
        <w:tc>
          <w:tcPr>
            <w:tcW w:type="dxa" w:w="324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111111"/>
                <w:sz w:val="19"/>
                <w:szCs w:val="19"/>
              </w:rPr>
              <w:t xml:space="preserve">Pin base image versions; add CVE exceptions process with CCO approval; mandatory re-scan on every commit regardless of code delta</w:t>
            </w:r>
          </w:p>
        </w:tc>
        <w:tc>
          <w:tcPr>
            <w:tcW w:type="dxa" w:w="3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111111"/>
                <w:sz w:val="19"/>
                <w:szCs w:val="19"/>
              </w:rPr>
              <w:t xml:space="preserve">Block release; create P1 security ticket; deploy hotfix through emergency change process only</w:t>
            </w:r>
          </w:p>
        </w:tc>
      </w:tr>
    </w:tbl>
    <w:p>
      <w:pPr>
        <w:spacing w:before="0" w:after="200"/>
      </w:pP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single" w:color="1F3864" w:sz="2"/>
              <w:left w:val="single" w:color="1F3864" w:sz="2"/>
              <w:bottom w:val="single" w:color="1F3864" w:sz="2"/>
              <w:right w:val="single" w:color="1F3864" w:sz="2"/>
            </w:tcBorders>
            <w:shd w:fill="1F3864" w:val="clear"/>
            <w:tcMar>
              <w:top w:type="dxa" w:w="140"/>
              <w:left w:type="dxa" w:w="240"/>
              <w:bottom w:type="dxa" w:w="140"/>
              <w:right w:type="dxa" w:w="240"/>
            </w:tcMar>
            <w:vAlign w:val="top"/>
          </w:tcPr>
          <w:p>
            <w:pPr>
              <w:spacing w:before="0" w:after="100"/>
              <w:jc w:val="left"/>
            </w:pPr>
            <w:r>
              <w:rPr>
                <w:rFonts w:ascii="Arial" w:cs="Arial" w:eastAsia="Arial" w:hAnsi="Arial"/>
                <w:b/>
                <w:bCs/>
                <w:i w:val="false"/>
                <w:iCs w:val="false"/>
                <w:color w:val="FFFFFF"/>
                <w:sz w:val="26"/>
                <w:szCs w:val="26"/>
              </w:rPr>
              <w:t xml:space="preserve">Task 3: System Monitoring Plan</w:t>
            </w:r>
          </w:p>
        </w:tc>
      </w:tr>
    </w:tbl>
    <w:p>
      <w:pPr>
        <w:spacing w:before="0" w:after="80"/>
      </w:pP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single" w:color="2E75B6" w:sz="2"/>
              <w:left w:val="single" w:color="2E75B6" w:sz="2"/>
              <w:bottom w:val="single" w:color="2E75B6" w:sz="2"/>
              <w:right w:val="single" w:color="2E75B6" w:sz="2"/>
            </w:tcBorders>
            <w:shd w:fill="2E75B6" w:val="clear"/>
            <w:tcMar>
              <w:top w:type="dxa" w:w="100"/>
              <w:left w:type="dxa" w:w="200"/>
              <w:bottom w:type="dxa" w:w="100"/>
              <w:right w:type="dxa" w:w="200"/>
            </w:tcMar>
            <w:vAlign w:val="top"/>
          </w:tcPr>
          <w:p>
            <w:pPr>
              <w:spacing w:before="0" w:after="100"/>
              <w:jc w:val="left"/>
            </w:pPr>
            <w:r>
              <w:rPr>
                <w:rFonts w:ascii="Arial" w:cs="Arial" w:eastAsia="Arial" w:hAnsi="Arial"/>
                <w:b/>
                <w:bCs/>
                <w:i w:val="false"/>
                <w:iCs w:val="false"/>
                <w:color w:val="FFFFFF"/>
                <w:sz w:val="22"/>
                <w:szCs w:val="22"/>
              </w:rPr>
              <w:t xml:space="preserve">Step 1: Key Performance Indicators (KPIs)</w:t>
            </w:r>
          </w:p>
        </w:tc>
      </w:tr>
    </w:tbl>
    <w:p>
      <w:pPr>
        <w:spacing w:before="0" w:after="60"/>
      </w:pP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400"/>
        <w:gridCol w:w="3640"/>
        <w:gridCol w:w="4400"/>
      </w:tblGrid>
      <w:tr>
        <w:tc>
          <w:tcPr>
            <w:tcW w:type="dxa" w:w="2400"/>
            <w:tcBorders>
              <w:top w:val="single" w:color="1F3864" w:sz="2"/>
              <w:left w:val="single" w:color="1F3864" w:sz="2"/>
              <w:bottom w:val="single" w:color="1F3864" w:sz="2"/>
              <w:right w:val="single" w:color="1F3864" w:sz="2"/>
            </w:tcBorders>
            <w:shd w:fill="1F3864" w:val="clear"/>
            <w:tcMar>
              <w:top w:type="dxa" w:w="100"/>
              <w:left w:type="dxa" w:w="120"/>
              <w:bottom w:type="dxa" w:w="100"/>
              <w:right w:type="dxa" w:w="120"/>
            </w:tcMar>
            <w:vAlign w:val="top"/>
          </w:tcPr>
          <w:p>
            <w:pPr>
              <w:spacing w:before="0" w:after="100"/>
              <w:jc w:val="left"/>
            </w:pPr>
            <w:r>
              <w:rPr>
                <w:rFonts w:ascii="Arial" w:cs="Arial" w:eastAsia="Arial" w:hAnsi="Arial"/>
                <w:b/>
                <w:bCs/>
                <w:i w:val="false"/>
                <w:iCs w:val="false"/>
                <w:color w:val="FFFFFF"/>
                <w:sz w:val="20"/>
                <w:szCs w:val="20"/>
              </w:rPr>
              <w:t xml:space="preserve">KPI</w:t>
            </w:r>
          </w:p>
        </w:tc>
        <w:tc>
          <w:tcPr>
            <w:tcW w:type="dxa" w:w="3640"/>
            <w:tcBorders>
              <w:top w:val="single" w:color="1F3864" w:sz="2"/>
              <w:left w:val="single" w:color="1F3864" w:sz="2"/>
              <w:bottom w:val="single" w:color="1F3864" w:sz="2"/>
              <w:right w:val="single" w:color="1F3864" w:sz="2"/>
            </w:tcBorders>
            <w:shd w:fill="1F3864" w:val="clear"/>
            <w:tcMar>
              <w:top w:type="dxa" w:w="100"/>
              <w:left w:type="dxa" w:w="120"/>
              <w:bottom w:type="dxa" w:w="100"/>
              <w:right w:type="dxa" w:w="120"/>
            </w:tcMar>
            <w:vAlign w:val="top"/>
          </w:tcPr>
          <w:p>
            <w:pPr>
              <w:spacing w:before="0" w:after="100"/>
              <w:jc w:val="left"/>
            </w:pPr>
            <w:r>
              <w:rPr>
                <w:rFonts w:ascii="Arial" w:cs="Arial" w:eastAsia="Arial" w:hAnsi="Arial"/>
                <w:b/>
                <w:bCs/>
                <w:i w:val="false"/>
                <w:iCs w:val="false"/>
                <w:color w:val="FFFFFF"/>
                <w:sz w:val="20"/>
                <w:szCs w:val="20"/>
              </w:rPr>
              <w:t xml:space="preserve">Definition</w:t>
            </w:r>
          </w:p>
        </w:tc>
        <w:tc>
          <w:tcPr>
            <w:tcW w:type="dxa" w:w="4400"/>
            <w:tcBorders>
              <w:top w:val="single" w:color="1F3864" w:sz="2"/>
              <w:left w:val="single" w:color="1F3864" w:sz="2"/>
              <w:bottom w:val="single" w:color="1F3864" w:sz="2"/>
              <w:right w:val="single" w:color="1F3864" w:sz="2"/>
            </w:tcBorders>
            <w:shd w:fill="1F3864" w:val="clear"/>
            <w:tcMar>
              <w:top w:type="dxa" w:w="100"/>
              <w:left w:type="dxa" w:w="120"/>
              <w:bottom w:type="dxa" w:w="100"/>
              <w:right w:type="dxa" w:w="120"/>
            </w:tcMar>
            <w:vAlign w:val="top"/>
          </w:tcPr>
          <w:p>
            <w:pPr>
              <w:spacing w:before="0" w:after="100"/>
              <w:jc w:val="left"/>
            </w:pPr>
            <w:r>
              <w:rPr>
                <w:rFonts w:ascii="Arial" w:cs="Arial" w:eastAsia="Arial" w:hAnsi="Arial"/>
                <w:b/>
                <w:bCs/>
                <w:i w:val="false"/>
                <w:iCs w:val="false"/>
                <w:color w:val="FFFFFF"/>
                <w:sz w:val="20"/>
                <w:szCs w:val="20"/>
              </w:rPr>
              <w:t xml:space="preserve">Target / Baseline</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1F3864"/>
                <w:sz w:val="19"/>
                <w:szCs w:val="19"/>
              </w:rPr>
              <w:t xml:space="preserve">API Response Latency</w:t>
            </w:r>
          </w:p>
        </w:tc>
        <w:tc>
          <w:tcPr>
            <w:tcW w:type="dxa" w:w="364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111111"/>
                <w:sz w:val="19"/>
                <w:szCs w:val="19"/>
              </w:rPr>
              <w:t xml:space="preserve">P95 response time for all public API endpoints measured at API Gateway</w:t>
            </w:r>
          </w:p>
        </w:tc>
        <w:tc>
          <w:tcPr>
            <w:tcW w:type="dxa" w:w="4400"/>
            <w:tcBorders>
              <w:top w:val="single" w:color="CCCCCC" w:sz="2"/>
              <w:left w:val="single" w:color="CCCCCC" w:sz="2"/>
              <w:bottom w:val="single" w:color="CCCCCC" w:sz="2"/>
              <w:right w:val="single" w:color="CCCCCC" w:sz="2"/>
            </w:tcBorders>
            <w:shd w:fill="D5F5E3"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1E8449"/>
                <w:sz w:val="19"/>
                <w:szCs w:val="19"/>
              </w:rPr>
              <w:t xml:space="preserve">&lt; 200ms P95; &lt; 500ms P99; alert if &gt; 300ms sustained for 2 minutes</w:t>
            </w:r>
          </w:p>
        </w:tc>
      </w:tr>
      <w:tr>
        <w:tc>
          <w:tcPr>
            <w:tcW w:type="dxa" w:w="24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1F3864"/>
                <w:sz w:val="19"/>
                <w:szCs w:val="19"/>
              </w:rPr>
              <w:t xml:space="preserve">Service Availability (%)</w:t>
            </w:r>
          </w:p>
        </w:tc>
        <w:tc>
          <w:tcPr>
            <w:tcW w:type="dxa" w:w="364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111111"/>
                <w:sz w:val="19"/>
                <w:szCs w:val="19"/>
              </w:rPr>
              <w:t xml:space="preserve">Uptime of each microservice container measured per 30-day rolling window</w:t>
            </w:r>
          </w:p>
        </w:tc>
        <w:tc>
          <w:tcPr>
            <w:tcW w:type="dxa" w:w="4400"/>
            <w:tcBorders>
              <w:top w:val="single" w:color="CCCCCC" w:sz="2"/>
              <w:left w:val="single" w:color="CCCCCC" w:sz="2"/>
              <w:bottom w:val="single" w:color="CCCCCC" w:sz="2"/>
              <w:right w:val="single" w:color="CCCCCC" w:sz="2"/>
            </w:tcBorders>
            <w:shd w:fill="E8F8F0"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1E8449"/>
                <w:sz w:val="19"/>
                <w:szCs w:val="19"/>
              </w:rPr>
              <w:t xml:space="preserve">≥ 99.9% SLA; alert if availability drops below 99.5%</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1F3864"/>
                <w:sz w:val="19"/>
                <w:szCs w:val="19"/>
              </w:rPr>
              <w:t xml:space="preserve">Transaction Throughput (TPS)</w:t>
            </w:r>
          </w:p>
        </w:tc>
        <w:tc>
          <w:tcPr>
            <w:tcW w:type="dxa" w:w="364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111111"/>
                <w:sz w:val="19"/>
                <w:szCs w:val="19"/>
              </w:rPr>
              <w:t xml:space="preserve">Transactions processed per second across the payment and loan microservices</w:t>
            </w:r>
          </w:p>
        </w:tc>
        <w:tc>
          <w:tcPr>
            <w:tcW w:type="dxa" w:w="4400"/>
            <w:tcBorders>
              <w:top w:val="single" w:color="CCCCCC" w:sz="2"/>
              <w:left w:val="single" w:color="CCCCCC" w:sz="2"/>
              <w:bottom w:val="single" w:color="CCCCCC" w:sz="2"/>
              <w:right w:val="single" w:color="CCCCCC" w:sz="2"/>
            </w:tcBorders>
            <w:shd w:fill="D5F5E3"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1E8449"/>
                <w:sz w:val="19"/>
                <w:szCs w:val="19"/>
              </w:rPr>
              <w:t xml:space="preserve">&gt; 1,000 TPS baseline; alert if &lt; 800 TPS during business hours</w:t>
            </w:r>
          </w:p>
        </w:tc>
      </w:tr>
      <w:tr>
        <w:tc>
          <w:tcPr>
            <w:tcW w:type="dxa" w:w="24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1F3864"/>
                <w:sz w:val="19"/>
                <w:szCs w:val="19"/>
              </w:rPr>
              <w:t xml:space="preserve">Error Rate (%)</w:t>
            </w:r>
          </w:p>
        </w:tc>
        <w:tc>
          <w:tcPr>
            <w:tcW w:type="dxa" w:w="364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111111"/>
                <w:sz w:val="19"/>
                <w:szCs w:val="19"/>
              </w:rPr>
              <w:t xml:space="preserve">Ratio of 5xx HTTP responses to total requests over 5-minute sliding window</w:t>
            </w:r>
          </w:p>
        </w:tc>
        <w:tc>
          <w:tcPr>
            <w:tcW w:type="dxa" w:w="4400"/>
            <w:tcBorders>
              <w:top w:val="single" w:color="CCCCCC" w:sz="2"/>
              <w:left w:val="single" w:color="CCCCCC" w:sz="2"/>
              <w:bottom w:val="single" w:color="CCCCCC" w:sz="2"/>
              <w:right w:val="single" w:color="CCCCCC" w:sz="2"/>
            </w:tcBorders>
            <w:shd w:fill="E8F8F0"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1E8449"/>
                <w:sz w:val="19"/>
                <w:szCs w:val="19"/>
              </w:rPr>
              <w:t xml:space="preserve">&lt; 0.1%; alert at &gt; 0.5%; critical at &gt; 1%</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1F3864"/>
                <w:sz w:val="19"/>
                <w:szCs w:val="19"/>
              </w:rPr>
              <w:t xml:space="preserve">Fraud Rule Engine Time</w:t>
            </w:r>
          </w:p>
        </w:tc>
        <w:tc>
          <w:tcPr>
            <w:tcW w:type="dxa" w:w="364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111111"/>
                <w:sz w:val="19"/>
                <w:szCs w:val="19"/>
              </w:rPr>
              <w:t xml:space="preserve">Time taken by fraud detection service to evaluate and return a risk score</w:t>
            </w:r>
          </w:p>
        </w:tc>
        <w:tc>
          <w:tcPr>
            <w:tcW w:type="dxa" w:w="4400"/>
            <w:tcBorders>
              <w:top w:val="single" w:color="CCCCCC" w:sz="2"/>
              <w:left w:val="single" w:color="CCCCCC" w:sz="2"/>
              <w:bottom w:val="single" w:color="CCCCCC" w:sz="2"/>
              <w:right w:val="single" w:color="CCCCCC" w:sz="2"/>
            </w:tcBorders>
            <w:shd w:fill="D5F5E3"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1E8449"/>
                <w:sz w:val="19"/>
                <w:szCs w:val="19"/>
              </w:rPr>
              <w:t xml:space="preserve">&lt; 150ms per transaction; alert if &gt; 200ms; critical if &gt; 500ms</w:t>
            </w:r>
          </w:p>
        </w:tc>
      </w:tr>
      <w:tr>
        <w:tc>
          <w:tcPr>
            <w:tcW w:type="dxa" w:w="24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1F3864"/>
                <w:sz w:val="19"/>
                <w:szCs w:val="19"/>
              </w:rPr>
              <w:t xml:space="preserve">Database Replication Lag</w:t>
            </w:r>
          </w:p>
        </w:tc>
        <w:tc>
          <w:tcPr>
            <w:tcW w:type="dxa" w:w="364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111111"/>
                <w:sz w:val="19"/>
                <w:szCs w:val="19"/>
              </w:rPr>
              <w:t xml:space="preserve">Seconds behind primary for PostgreSQL read replicas used by reporting services</w:t>
            </w:r>
          </w:p>
        </w:tc>
        <w:tc>
          <w:tcPr>
            <w:tcW w:type="dxa" w:w="4400"/>
            <w:tcBorders>
              <w:top w:val="single" w:color="CCCCCC" w:sz="2"/>
              <w:left w:val="single" w:color="CCCCCC" w:sz="2"/>
              <w:bottom w:val="single" w:color="CCCCCC" w:sz="2"/>
              <w:right w:val="single" w:color="CCCCCC" w:sz="2"/>
            </w:tcBorders>
            <w:shd w:fill="E8F8F0"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1E8449"/>
                <w:sz w:val="19"/>
                <w:szCs w:val="19"/>
              </w:rPr>
              <w:t xml:space="preserve">&lt; 1 second; alert at &gt; 5 seconds; critical at &gt; 30 seconds</w:t>
            </w:r>
          </w:p>
        </w:tc>
      </w:tr>
    </w:tbl>
    <w:p>
      <w:pPr>
        <w:spacing w:before="0" w:after="160"/>
      </w:pP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single" w:color="2E75B6" w:sz="2"/>
              <w:left w:val="single" w:color="2E75B6" w:sz="2"/>
              <w:bottom w:val="single" w:color="2E75B6" w:sz="2"/>
              <w:right w:val="single" w:color="2E75B6" w:sz="2"/>
            </w:tcBorders>
            <w:shd w:fill="2E75B6" w:val="clear"/>
            <w:tcMar>
              <w:top w:type="dxa" w:w="100"/>
              <w:left w:type="dxa" w:w="200"/>
              <w:bottom w:type="dxa" w:w="100"/>
              <w:right w:type="dxa" w:w="200"/>
            </w:tcMar>
            <w:vAlign w:val="top"/>
          </w:tcPr>
          <w:p>
            <w:pPr>
              <w:spacing w:before="0" w:after="100"/>
              <w:jc w:val="left"/>
            </w:pPr>
            <w:r>
              <w:rPr>
                <w:rFonts w:ascii="Arial" w:cs="Arial" w:eastAsia="Arial" w:hAnsi="Arial"/>
                <w:b/>
                <w:bCs/>
                <w:i w:val="false"/>
                <w:iCs w:val="false"/>
                <w:color w:val="FFFFFF"/>
                <w:sz w:val="22"/>
                <w:szCs w:val="22"/>
              </w:rPr>
              <w:t xml:space="preserve">Step 2: Alert Triggers and Thresholds</w:t>
            </w:r>
          </w:p>
        </w:tc>
      </w:tr>
    </w:tbl>
    <w:p>
      <w:pPr>
        <w:spacing w:before="0" w:after="60"/>
      </w:pP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440"/>
        <w:gridCol w:w="1000"/>
        <w:gridCol w:w="3400"/>
      </w:tblGrid>
      <w:tr>
        <w:tc>
          <w:tcPr>
            <w:tcW w:type="dxa" w:w="2000"/>
            <w:tcBorders>
              <w:top w:val="single" w:color="1F3864" w:sz="2"/>
              <w:left w:val="single" w:color="1F3864" w:sz="2"/>
              <w:bottom w:val="single" w:color="1F3864" w:sz="2"/>
              <w:right w:val="single" w:color="1F3864" w:sz="2"/>
            </w:tcBorders>
            <w:shd w:fill="1F3864" w:val="clear"/>
            <w:tcMar>
              <w:top w:type="dxa" w:w="100"/>
              <w:left w:type="dxa" w:w="120"/>
              <w:bottom w:type="dxa" w:w="100"/>
              <w:right w:type="dxa" w:w="120"/>
            </w:tcMar>
            <w:vAlign w:val="top"/>
          </w:tcPr>
          <w:p>
            <w:pPr>
              <w:spacing w:before="0" w:after="100"/>
              <w:jc w:val="left"/>
            </w:pPr>
            <w:r>
              <w:rPr>
                <w:rFonts w:ascii="Arial" w:cs="Arial" w:eastAsia="Arial" w:hAnsi="Arial"/>
                <w:b/>
                <w:bCs/>
                <w:i w:val="false"/>
                <w:iCs w:val="false"/>
                <w:color w:val="FFFFFF"/>
                <w:sz w:val="20"/>
                <w:szCs w:val="20"/>
              </w:rPr>
              <w:t xml:space="preserve">KPI</w:t>
            </w:r>
          </w:p>
        </w:tc>
        <w:tc>
          <w:tcPr>
            <w:tcW w:type="dxa" w:w="1600"/>
            <w:tcBorders>
              <w:top w:val="single" w:color="1F3864" w:sz="2"/>
              <w:left w:val="single" w:color="1F3864" w:sz="2"/>
              <w:bottom w:val="single" w:color="1F3864" w:sz="2"/>
              <w:right w:val="single" w:color="1F3864" w:sz="2"/>
            </w:tcBorders>
            <w:shd w:fill="1F3864" w:val="clear"/>
            <w:tcMar>
              <w:top w:type="dxa" w:w="100"/>
              <w:left w:type="dxa" w:w="120"/>
              <w:bottom w:type="dxa" w:w="100"/>
              <w:right w:type="dxa" w:w="120"/>
            </w:tcMar>
            <w:vAlign w:val="top"/>
          </w:tcPr>
          <w:p>
            <w:pPr>
              <w:spacing w:before="0" w:after="100"/>
              <w:jc w:val="center"/>
            </w:pPr>
            <w:r>
              <w:rPr>
                <w:rFonts w:ascii="Arial" w:cs="Arial" w:eastAsia="Arial" w:hAnsi="Arial"/>
                <w:b/>
                <w:bCs/>
                <w:i w:val="false"/>
                <w:iCs w:val="false"/>
                <w:color w:val="FFFFFF"/>
                <w:sz w:val="20"/>
                <w:szCs w:val="20"/>
              </w:rPr>
              <w:t xml:space="preserve">Threshold</w:t>
            </w:r>
          </w:p>
        </w:tc>
        <w:tc>
          <w:tcPr>
            <w:tcW w:type="dxa" w:w="2440"/>
            <w:tcBorders>
              <w:top w:val="single" w:color="1F3864" w:sz="2"/>
              <w:left w:val="single" w:color="1F3864" w:sz="2"/>
              <w:bottom w:val="single" w:color="1F3864" w:sz="2"/>
              <w:right w:val="single" w:color="1F3864" w:sz="2"/>
            </w:tcBorders>
            <w:shd w:fill="1F3864" w:val="clear"/>
            <w:tcMar>
              <w:top w:type="dxa" w:w="100"/>
              <w:left w:type="dxa" w:w="120"/>
              <w:bottom w:type="dxa" w:w="100"/>
              <w:right w:type="dxa" w:w="120"/>
            </w:tcMar>
            <w:vAlign w:val="top"/>
          </w:tcPr>
          <w:p>
            <w:pPr>
              <w:spacing w:before="0" w:after="100"/>
              <w:jc w:val="left"/>
            </w:pPr>
            <w:r>
              <w:rPr>
                <w:rFonts w:ascii="Arial" w:cs="Arial" w:eastAsia="Arial" w:hAnsi="Arial"/>
                <w:b/>
                <w:bCs/>
                <w:i w:val="false"/>
                <w:iCs w:val="false"/>
                <w:color w:val="FFFFFF"/>
                <w:sz w:val="20"/>
                <w:szCs w:val="20"/>
              </w:rPr>
              <w:t xml:space="preserve">Alert Trigger</w:t>
            </w:r>
          </w:p>
        </w:tc>
        <w:tc>
          <w:tcPr>
            <w:tcW w:type="dxa" w:w="1000"/>
            <w:tcBorders>
              <w:top w:val="single" w:color="1F3864" w:sz="2"/>
              <w:left w:val="single" w:color="1F3864" w:sz="2"/>
              <w:bottom w:val="single" w:color="1F3864" w:sz="2"/>
              <w:right w:val="single" w:color="1F3864" w:sz="2"/>
            </w:tcBorders>
            <w:shd w:fill="1F3864" w:val="clear"/>
            <w:tcMar>
              <w:top w:type="dxa" w:w="100"/>
              <w:left w:type="dxa" w:w="120"/>
              <w:bottom w:type="dxa" w:w="100"/>
              <w:right w:type="dxa" w:w="120"/>
            </w:tcMar>
            <w:vAlign w:val="top"/>
          </w:tcPr>
          <w:p>
            <w:pPr>
              <w:spacing w:before="0" w:after="100"/>
              <w:jc w:val="center"/>
            </w:pPr>
            <w:r>
              <w:rPr>
                <w:rFonts w:ascii="Arial" w:cs="Arial" w:eastAsia="Arial" w:hAnsi="Arial"/>
                <w:b/>
                <w:bCs/>
                <w:i w:val="false"/>
                <w:iCs w:val="false"/>
                <w:color w:val="FFFFFF"/>
                <w:sz w:val="20"/>
                <w:szCs w:val="20"/>
              </w:rPr>
              <w:t xml:space="preserve">Severity</w:t>
            </w:r>
          </w:p>
        </w:tc>
        <w:tc>
          <w:tcPr>
            <w:tcW w:type="dxa" w:w="3400"/>
            <w:tcBorders>
              <w:top w:val="single" w:color="1F3864" w:sz="2"/>
              <w:left w:val="single" w:color="1F3864" w:sz="2"/>
              <w:bottom w:val="single" w:color="1F3864" w:sz="2"/>
              <w:right w:val="single" w:color="1F3864" w:sz="2"/>
            </w:tcBorders>
            <w:shd w:fill="1F3864" w:val="clear"/>
            <w:tcMar>
              <w:top w:type="dxa" w:w="100"/>
              <w:left w:type="dxa" w:w="120"/>
              <w:bottom w:type="dxa" w:w="100"/>
              <w:right w:type="dxa" w:w="120"/>
            </w:tcMar>
            <w:vAlign w:val="top"/>
          </w:tcPr>
          <w:p>
            <w:pPr>
              <w:spacing w:before="0" w:after="100"/>
              <w:jc w:val="left"/>
            </w:pPr>
            <w:r>
              <w:rPr>
                <w:rFonts w:ascii="Arial" w:cs="Arial" w:eastAsia="Arial" w:hAnsi="Arial"/>
                <w:b/>
                <w:bCs/>
                <w:i w:val="false"/>
                <w:iCs w:val="false"/>
                <w:color w:val="FFFFFF"/>
                <w:sz w:val="20"/>
                <w:szCs w:val="20"/>
              </w:rPr>
              <w:t xml:space="preserve">Notification Method</w:t>
            </w:r>
          </w:p>
        </w:tc>
      </w:tr>
      <w:tr>
        <w:tc>
          <w:tcPr>
            <w:tcW w:type="dxa" w:w="2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111111"/>
                <w:sz w:val="19"/>
                <w:szCs w:val="19"/>
              </w:rPr>
              <w:t xml:space="preserve">API Latency</w:t>
            </w:r>
          </w:p>
        </w:tc>
        <w:tc>
          <w:tcPr>
            <w:tcW w:type="dxa" w:w="1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111111"/>
                <w:sz w:val="19"/>
                <w:szCs w:val="19"/>
              </w:rPr>
              <w:t xml:space="preserve">&gt; 300ms P95</w:t>
            </w:r>
          </w:p>
        </w:tc>
        <w:tc>
          <w:tcPr>
            <w:tcW w:type="dxa" w:w="244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111111"/>
                <w:sz w:val="19"/>
                <w:szCs w:val="19"/>
              </w:rPr>
              <w:t xml:space="preserve">Sustained &gt; 300ms P95 for 2+ minutes</w:t>
            </w:r>
          </w:p>
        </w:tc>
        <w:tc>
          <w:tcPr>
            <w:tcW w:type="dxa" w:w="1000"/>
            <w:tcBorders>
              <w:top w:val="single" w:color="CA6F1E" w:sz="2"/>
              <w:left w:val="single" w:color="CA6F1E" w:sz="2"/>
              <w:bottom w:val="single" w:color="CA6F1E" w:sz="2"/>
              <w:right w:val="single" w:color="CA6F1E" w:sz="2"/>
            </w:tcBorders>
            <w:shd w:fill="CA6F1E" w:val="clear"/>
            <w:tcMar>
              <w:top w:type="dxa" w:w="80"/>
              <w:left w:type="dxa" w:w="120"/>
              <w:bottom w:type="dxa" w:w="80"/>
              <w:right w:type="dxa" w:w="120"/>
            </w:tcMar>
            <w:vAlign w:val="center"/>
          </w:tcPr>
          <w:p>
            <w:pPr>
              <w:spacing w:before="0" w:after="100"/>
              <w:jc w:val="center"/>
            </w:pPr>
            <w:r>
              <w:rPr>
                <w:rFonts w:ascii="Arial" w:cs="Arial" w:eastAsia="Arial" w:hAnsi="Arial"/>
                <w:b/>
                <w:bCs/>
                <w:i w:val="false"/>
                <w:iCs w:val="false"/>
                <w:color w:val="FFFFFF"/>
                <w:sz w:val="19"/>
                <w:szCs w:val="19"/>
              </w:rPr>
              <w:t xml:space="preserve">High</w:t>
            </w:r>
          </w:p>
        </w:tc>
        <w:tc>
          <w:tcPr>
            <w:tcW w:type="dxa" w:w="3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111111"/>
                <w:sz w:val="19"/>
                <w:szCs w:val="19"/>
              </w:rPr>
              <w:t xml:space="preserve">PagerDuty alert → On-call DevOps; Slack #alerts-prod</w:t>
            </w:r>
          </w:p>
        </w:tc>
      </w:tr>
      <w:tr>
        <w:tc>
          <w:tcPr>
            <w:tcW w:type="dxa" w:w="20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111111"/>
                <w:sz w:val="19"/>
                <w:szCs w:val="19"/>
              </w:rPr>
              <w:t xml:space="preserve">Availability</w:t>
            </w:r>
          </w:p>
        </w:tc>
        <w:tc>
          <w:tcPr>
            <w:tcW w:type="dxa" w:w="16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111111"/>
                <w:sz w:val="19"/>
                <w:szCs w:val="19"/>
              </w:rPr>
              <w:t xml:space="preserve">&lt; 99.5%</w:t>
            </w:r>
          </w:p>
        </w:tc>
        <w:tc>
          <w:tcPr>
            <w:tcW w:type="dxa" w:w="244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111111"/>
                <w:sz w:val="19"/>
                <w:szCs w:val="19"/>
              </w:rPr>
              <w:t xml:space="preserve">Any 5-minute window with availability &lt; 99.5%</w:t>
            </w:r>
          </w:p>
        </w:tc>
        <w:tc>
          <w:tcPr>
            <w:tcW w:type="dxa" w:w="1000"/>
            <w:tcBorders>
              <w:top w:val="single" w:color="C0392B" w:sz="2"/>
              <w:left w:val="single" w:color="C0392B" w:sz="2"/>
              <w:bottom w:val="single" w:color="C0392B" w:sz="2"/>
              <w:right w:val="single" w:color="C0392B" w:sz="2"/>
            </w:tcBorders>
            <w:shd w:fill="C0392B" w:val="clear"/>
            <w:tcMar>
              <w:top w:type="dxa" w:w="80"/>
              <w:left w:type="dxa" w:w="120"/>
              <w:bottom w:type="dxa" w:w="80"/>
              <w:right w:type="dxa" w:w="120"/>
            </w:tcMar>
            <w:vAlign w:val="center"/>
          </w:tcPr>
          <w:p>
            <w:pPr>
              <w:spacing w:before="0" w:after="100"/>
              <w:jc w:val="center"/>
            </w:pPr>
            <w:r>
              <w:rPr>
                <w:rFonts w:ascii="Arial" w:cs="Arial" w:eastAsia="Arial" w:hAnsi="Arial"/>
                <w:b/>
                <w:bCs/>
                <w:i w:val="false"/>
                <w:iCs w:val="false"/>
                <w:color w:val="FFFFFF"/>
                <w:sz w:val="19"/>
                <w:szCs w:val="19"/>
              </w:rPr>
              <w:t xml:space="preserve">Critical</w:t>
            </w:r>
          </w:p>
        </w:tc>
        <w:tc>
          <w:tcPr>
            <w:tcW w:type="dxa" w:w="34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111111"/>
                <w:sz w:val="19"/>
                <w:szCs w:val="19"/>
              </w:rPr>
              <w:t xml:space="preserve">PagerDuty P1 → DevOps + Architect + CCO; SMS to Release Manager</w:t>
            </w:r>
          </w:p>
        </w:tc>
      </w:tr>
      <w:tr>
        <w:tc>
          <w:tcPr>
            <w:tcW w:type="dxa" w:w="2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111111"/>
                <w:sz w:val="19"/>
                <w:szCs w:val="19"/>
              </w:rPr>
              <w:t xml:space="preserve">Error Rate</w:t>
            </w:r>
          </w:p>
        </w:tc>
        <w:tc>
          <w:tcPr>
            <w:tcW w:type="dxa" w:w="1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111111"/>
                <w:sz w:val="19"/>
                <w:szCs w:val="19"/>
              </w:rPr>
              <w:t xml:space="preserve">&gt; 0.5%</w:t>
            </w:r>
          </w:p>
        </w:tc>
        <w:tc>
          <w:tcPr>
            <w:tcW w:type="dxa" w:w="244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111111"/>
                <w:sz w:val="19"/>
                <w:szCs w:val="19"/>
              </w:rPr>
              <w:t xml:space="preserve">5xx rate exceeds 0.5% over 5-min window</w:t>
            </w:r>
          </w:p>
        </w:tc>
        <w:tc>
          <w:tcPr>
            <w:tcW w:type="dxa" w:w="1000"/>
            <w:tcBorders>
              <w:top w:val="single" w:color="C0392B" w:sz="2"/>
              <w:left w:val="single" w:color="C0392B" w:sz="2"/>
              <w:bottom w:val="single" w:color="C0392B" w:sz="2"/>
              <w:right w:val="single" w:color="C0392B" w:sz="2"/>
            </w:tcBorders>
            <w:shd w:fill="C0392B" w:val="clear"/>
            <w:tcMar>
              <w:top w:type="dxa" w:w="80"/>
              <w:left w:type="dxa" w:w="120"/>
              <w:bottom w:type="dxa" w:w="80"/>
              <w:right w:type="dxa" w:w="120"/>
            </w:tcMar>
            <w:vAlign w:val="center"/>
          </w:tcPr>
          <w:p>
            <w:pPr>
              <w:spacing w:before="0" w:after="100"/>
              <w:jc w:val="center"/>
            </w:pPr>
            <w:r>
              <w:rPr>
                <w:rFonts w:ascii="Arial" w:cs="Arial" w:eastAsia="Arial" w:hAnsi="Arial"/>
                <w:b/>
                <w:bCs/>
                <w:i w:val="false"/>
                <w:iCs w:val="false"/>
                <w:color w:val="FFFFFF"/>
                <w:sz w:val="19"/>
                <w:szCs w:val="19"/>
              </w:rPr>
              <w:t xml:space="preserve">Critical</w:t>
            </w:r>
          </w:p>
        </w:tc>
        <w:tc>
          <w:tcPr>
            <w:tcW w:type="dxa" w:w="3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111111"/>
                <w:sz w:val="19"/>
                <w:szCs w:val="19"/>
              </w:rPr>
              <w:t xml:space="preserve">PagerDuty P1; auto-trigger rollback evaluation script</w:t>
            </w:r>
          </w:p>
        </w:tc>
      </w:tr>
      <w:tr>
        <w:tc>
          <w:tcPr>
            <w:tcW w:type="dxa" w:w="20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111111"/>
                <w:sz w:val="19"/>
                <w:szCs w:val="19"/>
              </w:rPr>
              <w:t xml:space="preserve">Transaction Throughput</w:t>
            </w:r>
          </w:p>
        </w:tc>
        <w:tc>
          <w:tcPr>
            <w:tcW w:type="dxa" w:w="16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111111"/>
                <w:sz w:val="19"/>
                <w:szCs w:val="19"/>
              </w:rPr>
              <w:t xml:space="preserve">&lt; 800 TPS</w:t>
            </w:r>
          </w:p>
        </w:tc>
        <w:tc>
          <w:tcPr>
            <w:tcW w:type="dxa" w:w="244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111111"/>
                <w:sz w:val="19"/>
                <w:szCs w:val="19"/>
              </w:rPr>
              <w:t xml:space="preserve">TPS drops below 800 during 09:00–18:00 IST</w:t>
            </w:r>
          </w:p>
        </w:tc>
        <w:tc>
          <w:tcPr>
            <w:tcW w:type="dxa" w:w="1000"/>
            <w:tcBorders>
              <w:top w:val="single" w:color="CA6F1E" w:sz="2"/>
              <w:left w:val="single" w:color="CA6F1E" w:sz="2"/>
              <w:bottom w:val="single" w:color="CA6F1E" w:sz="2"/>
              <w:right w:val="single" w:color="CA6F1E" w:sz="2"/>
            </w:tcBorders>
            <w:shd w:fill="CA6F1E" w:val="clear"/>
            <w:tcMar>
              <w:top w:type="dxa" w:w="80"/>
              <w:left w:type="dxa" w:w="120"/>
              <w:bottom w:type="dxa" w:w="80"/>
              <w:right w:type="dxa" w:w="120"/>
            </w:tcMar>
            <w:vAlign w:val="center"/>
          </w:tcPr>
          <w:p>
            <w:pPr>
              <w:spacing w:before="0" w:after="100"/>
              <w:jc w:val="center"/>
            </w:pPr>
            <w:r>
              <w:rPr>
                <w:rFonts w:ascii="Arial" w:cs="Arial" w:eastAsia="Arial" w:hAnsi="Arial"/>
                <w:b/>
                <w:bCs/>
                <w:i w:val="false"/>
                <w:iCs w:val="false"/>
                <w:color w:val="FFFFFF"/>
                <w:sz w:val="19"/>
                <w:szCs w:val="19"/>
              </w:rPr>
              <w:t xml:space="preserve">High</w:t>
            </w:r>
          </w:p>
        </w:tc>
        <w:tc>
          <w:tcPr>
            <w:tcW w:type="dxa" w:w="34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111111"/>
                <w:sz w:val="19"/>
                <w:szCs w:val="19"/>
              </w:rPr>
              <w:t xml:space="preserve">Slack #ops-banking; Grafana alert; email to Operations Lead</w:t>
            </w:r>
          </w:p>
        </w:tc>
      </w:tr>
      <w:tr>
        <w:tc>
          <w:tcPr>
            <w:tcW w:type="dxa" w:w="2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111111"/>
                <w:sz w:val="19"/>
                <w:szCs w:val="19"/>
              </w:rPr>
              <w:t xml:space="preserve">Fraud Engine Latency</w:t>
            </w:r>
          </w:p>
        </w:tc>
        <w:tc>
          <w:tcPr>
            <w:tcW w:type="dxa" w:w="1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111111"/>
                <w:sz w:val="19"/>
                <w:szCs w:val="19"/>
              </w:rPr>
              <w:t xml:space="preserve">&gt; 200ms</w:t>
            </w:r>
          </w:p>
        </w:tc>
        <w:tc>
          <w:tcPr>
            <w:tcW w:type="dxa" w:w="244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111111"/>
                <w:sz w:val="19"/>
                <w:szCs w:val="19"/>
              </w:rPr>
              <w:t xml:space="preserve">Fraud score response exceeds 200ms average</w:t>
            </w:r>
          </w:p>
        </w:tc>
        <w:tc>
          <w:tcPr>
            <w:tcW w:type="dxa" w:w="1000"/>
            <w:tcBorders>
              <w:top w:val="single" w:color="CA6F1E" w:sz="2"/>
              <w:left w:val="single" w:color="CA6F1E" w:sz="2"/>
              <w:bottom w:val="single" w:color="CA6F1E" w:sz="2"/>
              <w:right w:val="single" w:color="CA6F1E" w:sz="2"/>
            </w:tcBorders>
            <w:shd w:fill="CA6F1E" w:val="clear"/>
            <w:tcMar>
              <w:top w:type="dxa" w:w="80"/>
              <w:left w:type="dxa" w:w="120"/>
              <w:bottom w:type="dxa" w:w="80"/>
              <w:right w:type="dxa" w:w="120"/>
            </w:tcMar>
            <w:vAlign w:val="center"/>
          </w:tcPr>
          <w:p>
            <w:pPr>
              <w:spacing w:before="0" w:after="100"/>
              <w:jc w:val="center"/>
            </w:pPr>
            <w:r>
              <w:rPr>
                <w:rFonts w:ascii="Arial" w:cs="Arial" w:eastAsia="Arial" w:hAnsi="Arial"/>
                <w:b/>
                <w:bCs/>
                <w:i w:val="false"/>
                <w:iCs w:val="false"/>
                <w:color w:val="FFFFFF"/>
                <w:sz w:val="19"/>
                <w:szCs w:val="19"/>
              </w:rPr>
              <w:t xml:space="preserve">High</w:t>
            </w:r>
          </w:p>
        </w:tc>
        <w:tc>
          <w:tcPr>
            <w:tcW w:type="dxa" w:w="3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111111"/>
                <w:sz w:val="19"/>
                <w:szCs w:val="19"/>
              </w:rPr>
              <w:t xml:space="preserve">PagerDuty alert → Fraud Engineering team; Slack #fraud-alerts</w:t>
            </w:r>
          </w:p>
        </w:tc>
      </w:tr>
      <w:tr>
        <w:tc>
          <w:tcPr>
            <w:tcW w:type="dxa" w:w="20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111111"/>
                <w:sz w:val="19"/>
                <w:szCs w:val="19"/>
              </w:rPr>
              <w:t xml:space="preserve">DB Replication Lag</w:t>
            </w:r>
          </w:p>
        </w:tc>
        <w:tc>
          <w:tcPr>
            <w:tcW w:type="dxa" w:w="16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111111"/>
                <w:sz w:val="19"/>
                <w:szCs w:val="19"/>
              </w:rPr>
              <w:t xml:space="preserve">&gt; 5 seconds</w:t>
            </w:r>
          </w:p>
        </w:tc>
        <w:tc>
          <w:tcPr>
            <w:tcW w:type="dxa" w:w="244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111111"/>
                <w:sz w:val="19"/>
                <w:szCs w:val="19"/>
              </w:rPr>
              <w:t xml:space="preserve">Replica lag exceeds 5s for more than 1 minute</w:t>
            </w:r>
          </w:p>
        </w:tc>
        <w:tc>
          <w:tcPr>
            <w:tcW w:type="dxa" w:w="1000"/>
            <w:tcBorders>
              <w:top w:val="single" w:color="CA6F1E" w:sz="2"/>
              <w:left w:val="single" w:color="CA6F1E" w:sz="2"/>
              <w:bottom w:val="single" w:color="CA6F1E" w:sz="2"/>
              <w:right w:val="single" w:color="CA6F1E" w:sz="2"/>
            </w:tcBorders>
            <w:shd w:fill="CA6F1E" w:val="clear"/>
            <w:tcMar>
              <w:top w:type="dxa" w:w="80"/>
              <w:left w:type="dxa" w:w="120"/>
              <w:bottom w:type="dxa" w:w="80"/>
              <w:right w:type="dxa" w:w="120"/>
            </w:tcMar>
            <w:vAlign w:val="center"/>
          </w:tcPr>
          <w:p>
            <w:pPr>
              <w:spacing w:before="0" w:after="100"/>
              <w:jc w:val="center"/>
            </w:pPr>
            <w:r>
              <w:rPr>
                <w:rFonts w:ascii="Arial" w:cs="Arial" w:eastAsia="Arial" w:hAnsi="Arial"/>
                <w:b/>
                <w:bCs/>
                <w:i w:val="false"/>
                <w:iCs w:val="false"/>
                <w:color w:val="FFFFFF"/>
                <w:sz w:val="19"/>
                <w:szCs w:val="19"/>
              </w:rPr>
              <w:t xml:space="preserve">High</w:t>
            </w:r>
          </w:p>
        </w:tc>
        <w:tc>
          <w:tcPr>
            <w:tcW w:type="dxa" w:w="34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111111"/>
                <w:sz w:val="19"/>
                <w:szCs w:val="19"/>
              </w:rPr>
              <w:t xml:space="preserve">PagerDuty → DBA on-call; Grafana dashboard annotation</w:t>
            </w:r>
          </w:p>
        </w:tc>
      </w:tr>
      <w:tr>
        <w:tc>
          <w:tcPr>
            <w:tcW w:type="dxa" w:w="2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111111"/>
                <w:sz w:val="19"/>
                <w:szCs w:val="19"/>
              </w:rPr>
              <w:t xml:space="preserve">DB Replication Lag</w:t>
            </w:r>
          </w:p>
        </w:tc>
        <w:tc>
          <w:tcPr>
            <w:tcW w:type="dxa" w:w="1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111111"/>
                <w:sz w:val="19"/>
                <w:szCs w:val="19"/>
              </w:rPr>
              <w:t xml:space="preserve">&gt; 30 seconds</w:t>
            </w:r>
          </w:p>
        </w:tc>
        <w:tc>
          <w:tcPr>
            <w:tcW w:type="dxa" w:w="244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111111"/>
                <w:sz w:val="19"/>
                <w:szCs w:val="19"/>
              </w:rPr>
              <w:t xml:space="preserve">Replica lag exceeds 30s — potential data loss risk</w:t>
            </w:r>
          </w:p>
        </w:tc>
        <w:tc>
          <w:tcPr>
            <w:tcW w:type="dxa" w:w="1000"/>
            <w:tcBorders>
              <w:top w:val="single" w:color="C0392B" w:sz="2"/>
              <w:left w:val="single" w:color="C0392B" w:sz="2"/>
              <w:bottom w:val="single" w:color="C0392B" w:sz="2"/>
              <w:right w:val="single" w:color="C0392B" w:sz="2"/>
            </w:tcBorders>
            <w:shd w:fill="C0392B" w:val="clear"/>
            <w:tcMar>
              <w:top w:type="dxa" w:w="80"/>
              <w:left w:type="dxa" w:w="120"/>
              <w:bottom w:type="dxa" w:w="80"/>
              <w:right w:type="dxa" w:w="120"/>
            </w:tcMar>
            <w:vAlign w:val="center"/>
          </w:tcPr>
          <w:p>
            <w:pPr>
              <w:spacing w:before="0" w:after="100"/>
              <w:jc w:val="center"/>
            </w:pPr>
            <w:r>
              <w:rPr>
                <w:rFonts w:ascii="Arial" w:cs="Arial" w:eastAsia="Arial" w:hAnsi="Arial"/>
                <w:b/>
                <w:bCs/>
                <w:i w:val="false"/>
                <w:iCs w:val="false"/>
                <w:color w:val="FFFFFF"/>
                <w:sz w:val="19"/>
                <w:szCs w:val="19"/>
              </w:rPr>
              <w:t xml:space="preserve">Critical</w:t>
            </w:r>
          </w:p>
        </w:tc>
        <w:tc>
          <w:tcPr>
            <w:tcW w:type="dxa" w:w="3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111111"/>
                <w:sz w:val="19"/>
                <w:szCs w:val="19"/>
              </w:rPr>
              <w:t xml:space="preserve">PagerDuty P1; trigger read-replica failover; alert CCO</w:t>
            </w:r>
          </w:p>
        </w:tc>
      </w:tr>
    </w:tbl>
    <w:p>
      <w:pPr>
        <w:spacing w:before="0" w:after="160"/>
      </w:pP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single" w:color="2E75B6" w:sz="2"/>
              <w:left w:val="single" w:color="2E75B6" w:sz="2"/>
              <w:bottom w:val="single" w:color="2E75B6" w:sz="2"/>
              <w:right w:val="single" w:color="2E75B6" w:sz="2"/>
            </w:tcBorders>
            <w:shd w:fill="2E75B6" w:val="clear"/>
            <w:tcMar>
              <w:top w:type="dxa" w:w="100"/>
              <w:left w:type="dxa" w:w="200"/>
              <w:bottom w:type="dxa" w:w="100"/>
              <w:right w:type="dxa" w:w="200"/>
            </w:tcMar>
            <w:vAlign w:val="top"/>
          </w:tcPr>
          <w:p>
            <w:pPr>
              <w:spacing w:before="0" w:after="100"/>
              <w:jc w:val="left"/>
            </w:pPr>
            <w:r>
              <w:rPr>
                <w:rFonts w:ascii="Arial" w:cs="Arial" w:eastAsia="Arial" w:hAnsi="Arial"/>
                <w:b/>
                <w:bCs/>
                <w:i w:val="false"/>
                <w:iCs w:val="false"/>
                <w:color w:val="FFFFFF"/>
                <w:sz w:val="22"/>
                <w:szCs w:val="22"/>
              </w:rPr>
              <w:t xml:space="preserve">Step 3: Escalation Path</w:t>
            </w:r>
          </w:p>
        </w:tc>
      </w:tr>
    </w:tbl>
    <w:p>
      <w:pPr>
        <w:spacing w:before="0" w:after="60"/>
      </w:pP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600"/>
        <w:gridCol w:w="5440"/>
        <w:gridCol w:w="3400"/>
      </w:tblGrid>
      <w:tr>
        <w:tc>
          <w:tcPr>
            <w:tcW w:type="dxa" w:w="1600"/>
            <w:tcBorders>
              <w:top w:val="single" w:color="1F3864" w:sz="2"/>
              <w:left w:val="single" w:color="1F3864" w:sz="2"/>
              <w:bottom w:val="single" w:color="1F3864" w:sz="2"/>
              <w:right w:val="single" w:color="1F3864" w:sz="2"/>
            </w:tcBorders>
            <w:shd w:fill="1F3864" w:val="clear"/>
            <w:tcMar>
              <w:top w:type="dxa" w:w="100"/>
              <w:left w:type="dxa" w:w="120"/>
              <w:bottom w:type="dxa" w:w="100"/>
              <w:right w:type="dxa" w:w="120"/>
            </w:tcMar>
            <w:vAlign w:val="top"/>
          </w:tcPr>
          <w:p>
            <w:pPr>
              <w:spacing w:before="0" w:after="100"/>
              <w:jc w:val="center"/>
            </w:pPr>
            <w:r>
              <w:rPr>
                <w:rFonts w:ascii="Arial" w:cs="Arial" w:eastAsia="Arial" w:hAnsi="Arial"/>
                <w:b/>
                <w:bCs/>
                <w:i w:val="false"/>
                <w:iCs w:val="false"/>
                <w:color w:val="FFFFFF"/>
                <w:sz w:val="20"/>
                <w:szCs w:val="20"/>
              </w:rPr>
              <w:t xml:space="preserve">Level</w:t>
            </w:r>
          </w:p>
        </w:tc>
        <w:tc>
          <w:tcPr>
            <w:tcW w:type="dxa" w:w="5440"/>
            <w:tcBorders>
              <w:top w:val="single" w:color="1F3864" w:sz="2"/>
              <w:left w:val="single" w:color="1F3864" w:sz="2"/>
              <w:bottom w:val="single" w:color="1F3864" w:sz="2"/>
              <w:right w:val="single" w:color="1F3864" w:sz="2"/>
            </w:tcBorders>
            <w:shd w:fill="1F3864" w:val="clear"/>
            <w:tcMar>
              <w:top w:type="dxa" w:w="100"/>
              <w:left w:type="dxa" w:w="120"/>
              <w:bottom w:type="dxa" w:w="100"/>
              <w:right w:type="dxa" w:w="120"/>
            </w:tcMar>
            <w:vAlign w:val="top"/>
          </w:tcPr>
          <w:p>
            <w:pPr>
              <w:spacing w:before="0" w:after="100"/>
              <w:jc w:val="left"/>
            </w:pPr>
            <w:r>
              <w:rPr>
                <w:rFonts w:ascii="Arial" w:cs="Arial" w:eastAsia="Arial" w:hAnsi="Arial"/>
                <w:b/>
                <w:bCs/>
                <w:i w:val="false"/>
                <w:iCs w:val="false"/>
                <w:color w:val="FFFFFF"/>
                <w:sz w:val="20"/>
                <w:szCs w:val="20"/>
              </w:rPr>
              <w:t xml:space="preserve">Escalated To</w:t>
            </w:r>
          </w:p>
        </w:tc>
        <w:tc>
          <w:tcPr>
            <w:tcW w:type="dxa" w:w="3400"/>
            <w:tcBorders>
              <w:top w:val="single" w:color="1F3864" w:sz="2"/>
              <w:left w:val="single" w:color="1F3864" w:sz="2"/>
              <w:bottom w:val="single" w:color="1F3864" w:sz="2"/>
              <w:right w:val="single" w:color="1F3864" w:sz="2"/>
            </w:tcBorders>
            <w:shd w:fill="1F3864" w:val="clear"/>
            <w:tcMar>
              <w:top w:type="dxa" w:w="100"/>
              <w:left w:type="dxa" w:w="120"/>
              <w:bottom w:type="dxa" w:w="100"/>
              <w:right w:type="dxa" w:w="120"/>
            </w:tcMar>
            <w:vAlign w:val="top"/>
          </w:tcPr>
          <w:p>
            <w:pPr>
              <w:spacing w:before="0" w:after="100"/>
              <w:jc w:val="center"/>
            </w:pPr>
            <w:r>
              <w:rPr>
                <w:rFonts w:ascii="Arial" w:cs="Arial" w:eastAsia="Arial" w:hAnsi="Arial"/>
                <w:b/>
                <w:bCs/>
                <w:i w:val="false"/>
                <w:iCs w:val="false"/>
                <w:color w:val="FFFFFF"/>
                <w:sz w:val="20"/>
                <w:szCs w:val="20"/>
              </w:rPr>
              <w:t xml:space="preserve">Time to Respond</w:t>
            </w:r>
          </w:p>
        </w:tc>
      </w:tr>
      <w:tr>
        <w:tc>
          <w:tcPr>
            <w:tcW w:type="dxa" w:w="1600"/>
            <w:tcBorders>
              <w:top w:val="single" w:color="CCCCCC" w:sz="2"/>
              <w:left w:val="single" w:color="CCCCCC" w:sz="2"/>
              <w:bottom w:val="single" w:color="CCCCCC" w:sz="2"/>
              <w:right w:val="single" w:color="CCCCCC" w:sz="2"/>
            </w:tcBorders>
            <w:shd w:fill="FADBD8"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C0392B"/>
                <w:sz w:val="19"/>
                <w:szCs w:val="19"/>
              </w:rPr>
              <w:t xml:space="preserve">L1 — Alert</w:t>
            </w:r>
          </w:p>
        </w:tc>
        <w:tc>
          <w:tcPr>
            <w:tcW w:type="dxa" w:w="544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111111"/>
                <w:sz w:val="19"/>
                <w:szCs w:val="19"/>
              </w:rPr>
              <w:t xml:space="preserve">Automated monitoring system (Grafana / Datadog) triggers alert; On-call DevOps Engineer receives PagerDuty notification; Reviews dashboards and attempts immediate remediation</w:t>
            </w:r>
          </w:p>
        </w:tc>
        <w:tc>
          <w:tcPr>
            <w:tcW w:type="dxa" w:w="34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C0392B"/>
                <w:sz w:val="19"/>
                <w:szCs w:val="19"/>
              </w:rPr>
              <w:t xml:space="preserve">&lt; 5 minutes</w:t>
            </w:r>
          </w:p>
        </w:tc>
      </w:tr>
      <w:tr>
        <w:tc>
          <w:tcPr>
            <w:tcW w:type="dxa" w:w="1600"/>
            <w:tcBorders>
              <w:top w:val="single" w:color="CCCCCC" w:sz="2"/>
              <w:left w:val="single" w:color="CCCCCC" w:sz="2"/>
              <w:bottom w:val="single" w:color="CCCCCC" w:sz="2"/>
              <w:right w:val="single" w:color="CCCCCC" w:sz="2"/>
            </w:tcBorders>
            <w:shd w:fill="FDEBD0"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CA6F1E"/>
                <w:sz w:val="19"/>
                <w:szCs w:val="19"/>
              </w:rPr>
              <w:t xml:space="preserve">L2 — Incident</w:t>
            </w:r>
          </w:p>
        </w:tc>
        <w:tc>
          <w:tcPr>
            <w:tcW w:type="dxa" w:w="544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111111"/>
                <w:sz w:val="19"/>
                <w:szCs w:val="19"/>
              </w:rPr>
              <w:t xml:space="preserve">If unresolved in 5 minutes: DevOps Lead and Systems Architect paged; Incident bridge opened in Zoom; Kafka event published to incident-management topic; Rollback evaluated</w:t>
            </w:r>
          </w:p>
        </w:tc>
        <w:tc>
          <w:tcPr>
            <w:tcW w:type="dxa" w:w="3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CA6F1E"/>
                <w:sz w:val="19"/>
                <w:szCs w:val="19"/>
              </w:rPr>
              <w:t xml:space="preserve">&lt; 15 minutes</w:t>
            </w:r>
          </w:p>
        </w:tc>
      </w:tr>
      <w:tr>
        <w:tc>
          <w:tcPr>
            <w:tcW w:type="dxa" w:w="1600"/>
            <w:tcBorders>
              <w:top w:val="single" w:color="CCCCCC" w:sz="2"/>
              <w:left w:val="single" w:color="CCCCCC" w:sz="2"/>
              <w:bottom w:val="single" w:color="CCCCCC" w:sz="2"/>
              <w:right w:val="single" w:color="CCCCCC" w:sz="2"/>
            </w:tcBorders>
            <w:shd w:fill="FEF9E7"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B7950B"/>
                <w:sz w:val="19"/>
                <w:szCs w:val="19"/>
              </w:rPr>
              <w:t xml:space="preserve">L3 — Critical</w:t>
            </w:r>
          </w:p>
        </w:tc>
        <w:tc>
          <w:tcPr>
            <w:tcW w:type="dxa" w:w="544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111111"/>
                <w:sz w:val="19"/>
                <w:szCs w:val="19"/>
              </w:rPr>
              <w:t xml:space="preserve">If unresolved in 15 minutes: Release Manager + CTO notified; Compliance Officer paged for regulatory impact assessment; Customer Communication drafted; War-room initiated</w:t>
            </w:r>
          </w:p>
        </w:tc>
        <w:tc>
          <w:tcPr>
            <w:tcW w:type="dxa" w:w="34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B7950B"/>
                <w:sz w:val="19"/>
                <w:szCs w:val="19"/>
              </w:rPr>
              <w:t xml:space="preserve">&lt; 30 minutes</w:t>
            </w:r>
          </w:p>
        </w:tc>
      </w:tr>
      <w:tr>
        <w:tc>
          <w:tcPr>
            <w:tcW w:type="dxa" w:w="1600"/>
            <w:tcBorders>
              <w:top w:val="single" w:color="CCCCCC" w:sz="2"/>
              <w:left w:val="single" w:color="CCCCCC" w:sz="2"/>
              <w:bottom w:val="single" w:color="CCCCCC" w:sz="2"/>
              <w:right w:val="single" w:color="CCCCCC" w:sz="2"/>
            </w:tcBorders>
            <w:shd w:fill="D5F5E3"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1E8449"/>
                <w:sz w:val="19"/>
                <w:szCs w:val="19"/>
              </w:rPr>
              <w:t xml:space="preserve">L4 — Executive</w:t>
            </w:r>
          </w:p>
        </w:tc>
        <w:tc>
          <w:tcPr>
            <w:tcW w:type="dxa" w:w="544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111111"/>
                <w:sz w:val="19"/>
                <w:szCs w:val="19"/>
              </w:rPr>
              <w:t xml:space="preserve">If unresolved in 30 minutes or if regulatory impact confirmed: CEO / COO briefed; Regulatory authority notification prepared (per RBI/FFIEC mandate); Disaster Recovery Plan activated if data affected</w:t>
            </w:r>
          </w:p>
        </w:tc>
        <w:tc>
          <w:tcPr>
            <w:tcW w:type="dxa" w:w="3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1E8449"/>
                <w:sz w:val="19"/>
                <w:szCs w:val="19"/>
              </w:rPr>
              <w:t xml:space="preserve">&lt; 60 minutes</w:t>
            </w:r>
          </w:p>
        </w:tc>
      </w:tr>
    </w:tbl>
    <w:p>
      <w:pPr>
        <w:spacing w:before="0" w:after="160"/>
      </w:pP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single" w:color="2E75B6" w:sz="2"/>
              <w:left w:val="single" w:color="2E75B6" w:sz="2"/>
              <w:bottom w:val="single" w:color="2E75B6" w:sz="2"/>
              <w:right w:val="single" w:color="2E75B6" w:sz="2"/>
            </w:tcBorders>
            <w:shd w:fill="2E75B6" w:val="clear"/>
            <w:tcMar>
              <w:top w:type="dxa" w:w="100"/>
              <w:left w:type="dxa" w:w="200"/>
              <w:bottom w:type="dxa" w:w="100"/>
              <w:right w:type="dxa" w:w="200"/>
            </w:tcMar>
            <w:vAlign w:val="top"/>
          </w:tcPr>
          <w:p>
            <w:pPr>
              <w:spacing w:before="0" w:after="100"/>
              <w:jc w:val="left"/>
            </w:pPr>
            <w:r>
              <w:rPr>
                <w:rFonts w:ascii="Arial" w:cs="Arial" w:eastAsia="Arial" w:hAnsi="Arial"/>
                <w:b/>
                <w:bCs/>
                <w:i w:val="false"/>
                <w:iCs w:val="false"/>
                <w:color w:val="FFFFFF"/>
                <w:sz w:val="22"/>
                <w:szCs w:val="22"/>
              </w:rPr>
              <w:t xml:space="preserve">Step 4: Post-Mortem Workflow</w:t>
            </w:r>
          </w:p>
        </w:tc>
      </w:tr>
    </w:tbl>
    <w:p>
      <w:pPr>
        <w:spacing w:before="0" w:after="60"/>
      </w:pP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400"/>
        <w:gridCol w:w="8040"/>
      </w:tblGrid>
      <w:tr>
        <w:tc>
          <w:tcPr>
            <w:tcW w:type="dxa" w:w="2400"/>
            <w:tcBorders>
              <w:top w:val="single" w:color="1F3864" w:sz="2"/>
              <w:left w:val="single" w:color="1F3864" w:sz="2"/>
              <w:bottom w:val="single" w:color="1F3864" w:sz="2"/>
              <w:right w:val="single" w:color="1F3864" w:sz="2"/>
            </w:tcBorders>
            <w:shd w:fill="1F3864" w:val="clear"/>
            <w:tcMar>
              <w:top w:type="dxa" w:w="100"/>
              <w:left w:type="dxa" w:w="120"/>
              <w:bottom w:type="dxa" w:w="100"/>
              <w:right w:type="dxa" w:w="120"/>
            </w:tcMar>
            <w:vAlign w:val="top"/>
          </w:tcPr>
          <w:p>
            <w:pPr>
              <w:spacing w:before="0" w:after="100"/>
              <w:jc w:val="center"/>
            </w:pPr>
            <w:r>
              <w:rPr>
                <w:rFonts w:ascii="Arial" w:cs="Arial" w:eastAsia="Arial" w:hAnsi="Arial"/>
                <w:b/>
                <w:bCs/>
                <w:i w:val="false"/>
                <w:iCs w:val="false"/>
                <w:color w:val="FFFFFF"/>
                <w:sz w:val="20"/>
                <w:szCs w:val="20"/>
              </w:rPr>
              <w:t xml:space="preserve">Phase</w:t>
            </w:r>
          </w:p>
        </w:tc>
        <w:tc>
          <w:tcPr>
            <w:tcW w:type="dxa" w:w="8040"/>
            <w:tcBorders>
              <w:top w:val="single" w:color="1F3864" w:sz="2"/>
              <w:left w:val="single" w:color="1F3864" w:sz="2"/>
              <w:bottom w:val="single" w:color="1F3864" w:sz="2"/>
              <w:right w:val="single" w:color="1F3864" w:sz="2"/>
            </w:tcBorders>
            <w:shd w:fill="1F3864" w:val="clear"/>
            <w:tcMar>
              <w:top w:type="dxa" w:w="100"/>
              <w:left w:type="dxa" w:w="120"/>
              <w:bottom w:type="dxa" w:w="100"/>
              <w:right w:type="dxa" w:w="120"/>
            </w:tcMar>
            <w:vAlign w:val="top"/>
          </w:tcPr>
          <w:p>
            <w:pPr>
              <w:spacing w:before="0" w:after="100"/>
              <w:jc w:val="left"/>
            </w:pPr>
            <w:r>
              <w:rPr>
                <w:rFonts w:ascii="Arial" w:cs="Arial" w:eastAsia="Arial" w:hAnsi="Arial"/>
                <w:b/>
                <w:bCs/>
                <w:i w:val="false"/>
                <w:iCs w:val="false"/>
                <w:color w:val="FFFFFF"/>
                <w:sz w:val="20"/>
                <w:szCs w:val="20"/>
              </w:rPr>
              <w:t xml:space="preserve">Activities</w:t>
            </w:r>
          </w:p>
        </w:tc>
      </w:tr>
      <w:tr>
        <w:tc>
          <w:tcPr>
            <w:tcW w:type="dxa" w:w="2400"/>
            <w:tcBorders>
              <w:top w:val="single" w:color="CCCCCC" w:sz="2"/>
              <w:left w:val="single" w:color="CCCCCC" w:sz="2"/>
              <w:bottom w:val="single" w:color="CCCCCC" w:sz="2"/>
              <w:right w:val="single" w:color="CCCCCC" w:sz="2"/>
            </w:tcBorders>
            <w:shd w:fill="D6E4F0" w:val="clear"/>
            <w:tcMar>
              <w:top w:type="dxa" w:w="80"/>
              <w:left w:type="dxa" w:w="120"/>
              <w:bottom w:type="dxa" w:w="80"/>
              <w:right w:type="dxa" w:w="120"/>
            </w:tcMar>
            <w:vAlign w:val="center"/>
          </w:tcPr>
          <w:p>
            <w:pPr>
              <w:spacing w:before="0" w:after="100"/>
              <w:jc w:val="left"/>
            </w:pPr>
            <w:r>
              <w:rPr>
                <w:rFonts w:ascii="Arial" w:cs="Arial" w:eastAsia="Arial" w:hAnsi="Arial"/>
                <w:b/>
                <w:bCs/>
                <w:i w:val="false"/>
                <w:iCs w:val="false"/>
                <w:color w:val="1F3864"/>
                <w:sz w:val="19"/>
                <w:szCs w:val="19"/>
              </w:rPr>
              <w:t xml:space="preserve">1. Incident Summary</w:t>
            </w:r>
          </w:p>
        </w:tc>
        <w:tc>
          <w:tcPr>
            <w:tcW w:type="dxa" w:w="804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111111"/>
                <w:sz w:val="19"/>
                <w:szCs w:val="19"/>
              </w:rPr>
              <w:t xml:space="preserve">Document: incident title, affected services, start/end timestamps, total customer impact (# of users affected, financial transactions delayed), severity level, and incident commander name.</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spacing w:before="0" w:after="100"/>
              <w:jc w:val="left"/>
            </w:pPr>
            <w:r>
              <w:rPr>
                <w:rFonts w:ascii="Arial" w:cs="Arial" w:eastAsia="Arial" w:hAnsi="Arial"/>
                <w:b/>
                <w:bCs/>
                <w:i w:val="false"/>
                <w:iCs w:val="false"/>
                <w:color w:val="1F3864"/>
                <w:sz w:val="19"/>
                <w:szCs w:val="19"/>
              </w:rPr>
              <w:t xml:space="preserve">2. Timeline Reconstruction</w:t>
            </w:r>
          </w:p>
        </w:tc>
        <w:tc>
          <w:tcPr>
            <w:tcW w:type="dxa" w:w="804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111111"/>
                <w:sz w:val="19"/>
                <w:szCs w:val="19"/>
              </w:rPr>
              <w:t xml:space="preserve">Reconstruct minute-by-minute timeline using Grafana logs, Kafka audit trail, Kubernetes event logs, and PagerDuty alert history. Identify the exact moment the issue manifested vs. when it was detected.</w:t>
            </w:r>
          </w:p>
        </w:tc>
      </w:tr>
      <w:tr>
        <w:tc>
          <w:tcPr>
            <w:tcW w:type="dxa" w:w="2400"/>
            <w:tcBorders>
              <w:top w:val="single" w:color="CCCCCC" w:sz="2"/>
              <w:left w:val="single" w:color="CCCCCC" w:sz="2"/>
              <w:bottom w:val="single" w:color="CCCCCC" w:sz="2"/>
              <w:right w:val="single" w:color="CCCCCC" w:sz="2"/>
            </w:tcBorders>
            <w:shd w:fill="D6E4F0" w:val="clear"/>
            <w:tcMar>
              <w:top w:type="dxa" w:w="80"/>
              <w:left w:type="dxa" w:w="120"/>
              <w:bottom w:type="dxa" w:w="80"/>
              <w:right w:type="dxa" w:w="120"/>
            </w:tcMar>
            <w:vAlign w:val="center"/>
          </w:tcPr>
          <w:p>
            <w:pPr>
              <w:spacing w:before="0" w:after="100"/>
              <w:jc w:val="left"/>
            </w:pPr>
            <w:r>
              <w:rPr>
                <w:rFonts w:ascii="Arial" w:cs="Arial" w:eastAsia="Arial" w:hAnsi="Arial"/>
                <w:b/>
                <w:bCs/>
                <w:i w:val="false"/>
                <w:iCs w:val="false"/>
                <w:color w:val="1F3864"/>
                <w:sz w:val="19"/>
                <w:szCs w:val="19"/>
              </w:rPr>
              <w:t xml:space="preserve">3. Root Cause Analysis (RCA)</w:t>
            </w:r>
          </w:p>
        </w:tc>
        <w:tc>
          <w:tcPr>
            <w:tcW w:type="dxa" w:w="804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111111"/>
                <w:sz w:val="19"/>
                <w:szCs w:val="19"/>
              </w:rPr>
              <w:t xml:space="preserve">Apply 5-Why methodology to identify the root cause. Distinguish between immediate cause, contributing factors, and systemic gaps. Use fishbone diagram if multiple contributing factors are present.</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spacing w:before="0" w:after="100"/>
              <w:jc w:val="left"/>
            </w:pPr>
            <w:r>
              <w:rPr>
                <w:rFonts w:ascii="Arial" w:cs="Arial" w:eastAsia="Arial" w:hAnsi="Arial"/>
                <w:b/>
                <w:bCs/>
                <w:i w:val="false"/>
                <w:iCs w:val="false"/>
                <w:color w:val="1F3864"/>
                <w:sz w:val="19"/>
                <w:szCs w:val="19"/>
              </w:rPr>
              <w:t xml:space="preserve">4. Fix Validation</w:t>
            </w:r>
          </w:p>
        </w:tc>
        <w:tc>
          <w:tcPr>
            <w:tcW w:type="dxa" w:w="804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111111"/>
                <w:sz w:val="19"/>
                <w:szCs w:val="19"/>
              </w:rPr>
              <w:t xml:space="preserve">Confirm that the fix was applied and verified in staging before production. Validate that all affected KPIs have returned to baseline. Confirm no secondary incidents were triggered by the fix.</w:t>
            </w:r>
          </w:p>
        </w:tc>
      </w:tr>
      <w:tr>
        <w:tc>
          <w:tcPr>
            <w:tcW w:type="dxa" w:w="2400"/>
            <w:tcBorders>
              <w:top w:val="single" w:color="CCCCCC" w:sz="2"/>
              <w:left w:val="single" w:color="CCCCCC" w:sz="2"/>
              <w:bottom w:val="single" w:color="CCCCCC" w:sz="2"/>
              <w:right w:val="single" w:color="CCCCCC" w:sz="2"/>
            </w:tcBorders>
            <w:shd w:fill="D6E4F0" w:val="clear"/>
            <w:tcMar>
              <w:top w:type="dxa" w:w="80"/>
              <w:left w:type="dxa" w:w="120"/>
              <w:bottom w:type="dxa" w:w="80"/>
              <w:right w:type="dxa" w:w="120"/>
            </w:tcMar>
            <w:vAlign w:val="center"/>
          </w:tcPr>
          <w:p>
            <w:pPr>
              <w:spacing w:before="0" w:after="100"/>
              <w:jc w:val="left"/>
            </w:pPr>
            <w:r>
              <w:rPr>
                <w:rFonts w:ascii="Arial" w:cs="Arial" w:eastAsia="Arial" w:hAnsi="Arial"/>
                <w:b/>
                <w:bCs/>
                <w:i w:val="false"/>
                <w:iCs w:val="false"/>
                <w:color w:val="1F3864"/>
                <w:sz w:val="19"/>
                <w:szCs w:val="19"/>
              </w:rPr>
              <w:t xml:space="preserve">5. Prevention Actions</w:t>
            </w:r>
          </w:p>
        </w:tc>
        <w:tc>
          <w:tcPr>
            <w:tcW w:type="dxa" w:w="804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111111"/>
                <w:sz w:val="19"/>
                <w:szCs w:val="19"/>
              </w:rPr>
              <w:t xml:space="preserve">Define 3–5 concrete action items with owners, due dates, and success criteria. Categorize: immediate (&lt; 1 week), short-term (&lt; 1 month), strategic (&lt; 1 quarter). Add to sprint backlog.</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spacing w:before="0" w:after="100"/>
              <w:jc w:val="left"/>
            </w:pPr>
            <w:r>
              <w:rPr>
                <w:rFonts w:ascii="Arial" w:cs="Arial" w:eastAsia="Arial" w:hAnsi="Arial"/>
                <w:b/>
                <w:bCs/>
                <w:i w:val="false"/>
                <w:iCs w:val="false"/>
                <w:color w:val="1F3864"/>
                <w:sz w:val="19"/>
                <w:szCs w:val="19"/>
              </w:rPr>
              <w:t xml:space="preserve">6. Compliance Reporting</w:t>
            </w:r>
          </w:p>
        </w:tc>
        <w:tc>
          <w:tcPr>
            <w:tcW w:type="dxa" w:w="804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111111"/>
                <w:sz w:val="19"/>
                <w:szCs w:val="19"/>
              </w:rPr>
              <w:t xml:space="preserve">File incident report with Compliance Officer within 24 hours for any incident affecting transactions, KYC data, or AML systems. Retain all post-mortem artefacts for minimum 7 years per PCI-DSS Requirement 10.7.</w:t>
            </w:r>
          </w:p>
        </w:tc>
      </w:tr>
    </w:tbl>
    <w:p>
      <w:pPr>
        <w:spacing w:before="0" w:after="200"/>
      </w:pP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single" w:color="117A65" w:sz="2"/>
              <w:left w:val="single" w:color="117A65" w:sz="2"/>
              <w:bottom w:val="single" w:color="117A65" w:sz="2"/>
              <w:right w:val="single" w:color="117A65" w:sz="2"/>
            </w:tcBorders>
            <w:shd w:fill="117A65" w:val="clear"/>
            <w:tcMar>
              <w:top w:type="dxa" w:w="140"/>
              <w:left w:type="dxa" w:w="240"/>
              <w:bottom w:type="dxa" w:w="140"/>
              <w:right w:type="dxa" w:w="240"/>
            </w:tcMar>
            <w:vAlign w:val="top"/>
          </w:tcPr>
          <w:p>
            <w:pPr>
              <w:spacing w:before="0" w:after="100"/>
              <w:jc w:val="left"/>
            </w:pPr>
            <w:r>
              <w:rPr>
                <w:rFonts w:ascii="Arial" w:cs="Arial" w:eastAsia="Arial" w:hAnsi="Arial"/>
                <w:b/>
                <w:bCs/>
                <w:i w:val="false"/>
                <w:iCs w:val="false"/>
                <w:color w:val="FFFFFF"/>
                <w:sz w:val="26"/>
                <w:szCs w:val="26"/>
              </w:rPr>
              <w:t xml:space="preserve">Configuration Guide: Database, API Gateway &amp; CI/CD Components</w:t>
            </w:r>
          </w:p>
        </w:tc>
      </w:tr>
    </w:tbl>
    <w:p>
      <w:pPr>
        <w:spacing w:before="0" w:after="80"/>
      </w:pPr>
    </w:p>
    <w:p>
      <w:pPr>
        <w:spacing w:before="0" w:after="140"/>
        <w:jc w:val="left"/>
      </w:pPr>
      <w:r>
        <w:rPr>
          <w:rFonts w:ascii="Arial" w:cs="Arial" w:eastAsia="Arial" w:hAnsi="Arial"/>
          <w:b w:val="false"/>
          <w:bCs w:val="false"/>
          <w:i w:val="false"/>
          <w:iCs w:val="false"/>
          <w:color w:val="333333"/>
          <w:sz w:val="19"/>
          <w:szCs w:val="19"/>
        </w:rPr>
        <w:t xml:space="preserve">This section provides configuration reference guides for the three primary infrastructure components: PostgreSQL database, the API Gateway (Kong/NGINX), and the Jenkins/GitHub Actions CI/CD components. All configurations are aligned with PCI-DSS, GDPR, and FFIEC compliance requirements.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single" w:color="117A65" w:sz="2"/>
              <w:left w:val="single" w:color="117A65" w:sz="2"/>
              <w:bottom w:val="single" w:color="117A65" w:sz="2"/>
              <w:right w:val="single" w:color="117A65" w:sz="2"/>
            </w:tcBorders>
            <w:shd w:fill="117A65" w:val="clear"/>
            <w:tcMar>
              <w:top w:type="dxa" w:w="100"/>
              <w:left w:type="dxa" w:w="200"/>
              <w:bottom w:type="dxa" w:w="100"/>
              <w:right w:type="dxa" w:w="200"/>
            </w:tcMar>
            <w:vAlign w:val="top"/>
          </w:tcPr>
          <w:p>
            <w:pPr>
              <w:spacing w:before="0" w:after="100"/>
              <w:jc w:val="left"/>
            </w:pPr>
            <w:r>
              <w:rPr>
                <w:rFonts w:ascii="Arial" w:cs="Arial" w:eastAsia="Arial" w:hAnsi="Arial"/>
                <w:b/>
                <w:bCs/>
                <w:i w:val="false"/>
                <w:iCs w:val="false"/>
                <w:color w:val="FFFFFF"/>
                <w:sz w:val="22"/>
                <w:szCs w:val="22"/>
              </w:rPr>
              <w:t xml:space="preserve">A1: PostgreSQL Database Configuration Guide</w:t>
            </w:r>
          </w:p>
        </w:tc>
      </w:tr>
    </w:tbl>
    <w:p>
      <w:pPr>
        <w:spacing w:before="0" w:after="60"/>
      </w:pP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600"/>
        <w:gridCol w:w="7840"/>
      </w:tblGrid>
      <w:tr>
        <w:tc>
          <w:tcPr>
            <w:tcW w:type="dxa" w:w="2600"/>
            <w:tcBorders>
              <w:top w:val="single" w:color="1F3864" w:sz="2"/>
              <w:left w:val="single" w:color="1F3864" w:sz="2"/>
              <w:bottom w:val="single" w:color="1F3864" w:sz="2"/>
              <w:right w:val="single" w:color="1F3864" w:sz="2"/>
            </w:tcBorders>
            <w:shd w:fill="1F3864" w:val="clear"/>
            <w:tcMar>
              <w:top w:type="dxa" w:w="100"/>
              <w:left w:type="dxa" w:w="120"/>
              <w:bottom w:type="dxa" w:w="100"/>
              <w:right w:type="dxa" w:w="120"/>
            </w:tcMar>
            <w:vAlign w:val="top"/>
          </w:tcPr>
          <w:p>
            <w:pPr>
              <w:spacing w:before="0" w:after="100"/>
              <w:jc w:val="center"/>
            </w:pPr>
            <w:r>
              <w:rPr>
                <w:rFonts w:ascii="Arial" w:cs="Arial" w:eastAsia="Arial" w:hAnsi="Arial"/>
                <w:b/>
                <w:bCs/>
                <w:i w:val="false"/>
                <w:iCs w:val="false"/>
                <w:color w:val="FFFFFF"/>
                <w:sz w:val="20"/>
                <w:szCs w:val="20"/>
              </w:rPr>
              <w:t xml:space="preserve">Config Area</w:t>
            </w:r>
          </w:p>
        </w:tc>
        <w:tc>
          <w:tcPr>
            <w:tcW w:type="dxa" w:w="7840"/>
            <w:tcBorders>
              <w:top w:val="single" w:color="1F3864" w:sz="2"/>
              <w:left w:val="single" w:color="1F3864" w:sz="2"/>
              <w:bottom w:val="single" w:color="1F3864" w:sz="2"/>
              <w:right w:val="single" w:color="1F3864" w:sz="2"/>
            </w:tcBorders>
            <w:shd w:fill="1F3864" w:val="clear"/>
            <w:tcMar>
              <w:top w:type="dxa" w:w="100"/>
              <w:left w:type="dxa" w:w="120"/>
              <w:bottom w:type="dxa" w:w="100"/>
              <w:right w:type="dxa" w:w="120"/>
            </w:tcMar>
            <w:vAlign w:val="top"/>
          </w:tcPr>
          <w:p>
            <w:pPr>
              <w:spacing w:before="0" w:after="100"/>
              <w:jc w:val="left"/>
            </w:pPr>
            <w:r>
              <w:rPr>
                <w:rFonts w:ascii="Arial" w:cs="Arial" w:eastAsia="Arial" w:hAnsi="Arial"/>
                <w:b/>
                <w:bCs/>
                <w:i w:val="false"/>
                <w:iCs w:val="false"/>
                <w:color w:val="FFFFFF"/>
                <w:sz w:val="20"/>
                <w:szCs w:val="20"/>
              </w:rPr>
              <w:t xml:space="preserve">Configuration Detail</w:t>
            </w:r>
          </w:p>
        </w:tc>
      </w:tr>
      <w:tr>
        <w:tc>
          <w:tcPr>
            <w:tcW w:type="dxa" w:w="2600"/>
            <w:tcBorders>
              <w:top w:val="single" w:color="CCCCCC" w:sz="2"/>
              <w:left w:val="single" w:color="CCCCCC" w:sz="2"/>
              <w:bottom w:val="single" w:color="CCCCCC" w:sz="2"/>
              <w:right w:val="single" w:color="CCCCCC" w:sz="2"/>
            </w:tcBorders>
            <w:shd w:fill="D1F2EB" w:val="clear"/>
            <w:tcMar>
              <w:top w:type="dxa" w:w="80"/>
              <w:left w:type="dxa" w:w="120"/>
              <w:bottom w:type="dxa" w:w="80"/>
              <w:right w:type="dxa" w:w="120"/>
            </w:tcMar>
            <w:vAlign w:val="center"/>
          </w:tcPr>
          <w:p>
            <w:pPr>
              <w:spacing w:before="0" w:after="100"/>
              <w:jc w:val="left"/>
            </w:pPr>
            <w:r>
              <w:rPr>
                <w:rFonts w:ascii="Arial" w:cs="Arial" w:eastAsia="Arial" w:hAnsi="Arial"/>
                <w:b/>
                <w:bCs/>
                <w:i w:val="false"/>
                <w:iCs w:val="false"/>
                <w:color w:val="117A65"/>
                <w:sz w:val="19"/>
                <w:szCs w:val="19"/>
              </w:rPr>
              <w:t xml:space="preserve">Connection Pooling</w:t>
            </w:r>
          </w:p>
        </w:tc>
        <w:tc>
          <w:tcPr>
            <w:tcW w:type="dxa" w:w="784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111111"/>
                <w:sz w:val="19"/>
                <w:szCs w:val="19"/>
              </w:rPr>
              <w:t xml:space="preserve">Use PgBouncer in transaction pooling mode. Max pool size: 100 connections per service. Timeout: 30 seconds. Configure separate pools per microservice (auth-db-pool, loan-db-pool, onboarding-db-pool).</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spacing w:before="0" w:after="100"/>
              <w:jc w:val="left"/>
            </w:pPr>
            <w:r>
              <w:rPr>
                <w:rFonts w:ascii="Arial" w:cs="Arial" w:eastAsia="Arial" w:hAnsi="Arial"/>
                <w:b/>
                <w:bCs/>
                <w:i w:val="false"/>
                <w:iCs w:val="false"/>
                <w:color w:val="117A65"/>
                <w:sz w:val="19"/>
                <w:szCs w:val="19"/>
              </w:rPr>
              <w:t xml:space="preserve">SSL/TLS Encryption</w:t>
            </w:r>
          </w:p>
        </w:tc>
        <w:tc>
          <w:tcPr>
            <w:tcW w:type="dxa" w:w="784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111111"/>
                <w:sz w:val="19"/>
                <w:szCs w:val="19"/>
              </w:rPr>
              <w:t xml:space="preserve">Enforce ssl = on in postgresql.conf. Set ssl_min_protocol_version = TLSv1.2. All client connections must use sslmode=require. Certificate rotation every 90 days via IBM Secrets Manager.</w:t>
            </w:r>
          </w:p>
        </w:tc>
      </w:tr>
      <w:tr>
        <w:tc>
          <w:tcPr>
            <w:tcW w:type="dxa" w:w="2600"/>
            <w:tcBorders>
              <w:top w:val="single" w:color="CCCCCC" w:sz="2"/>
              <w:left w:val="single" w:color="CCCCCC" w:sz="2"/>
              <w:bottom w:val="single" w:color="CCCCCC" w:sz="2"/>
              <w:right w:val="single" w:color="CCCCCC" w:sz="2"/>
            </w:tcBorders>
            <w:shd w:fill="D1F2EB" w:val="clear"/>
            <w:tcMar>
              <w:top w:type="dxa" w:w="80"/>
              <w:left w:type="dxa" w:w="120"/>
              <w:bottom w:type="dxa" w:w="80"/>
              <w:right w:type="dxa" w:w="120"/>
            </w:tcMar>
            <w:vAlign w:val="center"/>
          </w:tcPr>
          <w:p>
            <w:pPr>
              <w:spacing w:before="0" w:after="100"/>
              <w:jc w:val="left"/>
            </w:pPr>
            <w:r>
              <w:rPr>
                <w:rFonts w:ascii="Arial" w:cs="Arial" w:eastAsia="Arial" w:hAnsi="Arial"/>
                <w:b/>
                <w:bCs/>
                <w:i w:val="false"/>
                <w:iCs w:val="false"/>
                <w:color w:val="117A65"/>
                <w:sz w:val="19"/>
                <w:szCs w:val="19"/>
              </w:rPr>
              <w:t xml:space="preserve">Role-Based Access</w:t>
            </w:r>
          </w:p>
        </w:tc>
        <w:tc>
          <w:tcPr>
            <w:tcW w:type="dxa" w:w="784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111111"/>
                <w:sz w:val="19"/>
                <w:szCs w:val="19"/>
              </w:rPr>
              <w:t xml:space="preserve">Each microservice connects with a dedicated read/write role (auth_rw, loan_rw, onboard_rw). Compliance reporting uses a read-only role (compliance_ro). No service uses superuser credentials.</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spacing w:before="0" w:after="100"/>
              <w:jc w:val="left"/>
            </w:pPr>
            <w:r>
              <w:rPr>
                <w:rFonts w:ascii="Arial" w:cs="Arial" w:eastAsia="Arial" w:hAnsi="Arial"/>
                <w:b/>
                <w:bCs/>
                <w:i w:val="false"/>
                <w:iCs w:val="false"/>
                <w:color w:val="117A65"/>
                <w:sz w:val="19"/>
                <w:szCs w:val="19"/>
              </w:rPr>
              <w:t xml:space="preserve">Write-Ahead Logging</w:t>
            </w:r>
          </w:p>
        </w:tc>
        <w:tc>
          <w:tcPr>
            <w:tcW w:type="dxa" w:w="784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111111"/>
                <w:sz w:val="19"/>
                <w:szCs w:val="19"/>
              </w:rPr>
              <w:t xml:space="preserve">wal_level = replica. max_wal_senders = 5. archive_mode = on. wal_keep_size = 1GB. Enables point-in-time recovery (PITR) and streaming replication to standby.</w:t>
            </w:r>
          </w:p>
        </w:tc>
      </w:tr>
      <w:tr>
        <w:tc>
          <w:tcPr>
            <w:tcW w:type="dxa" w:w="2600"/>
            <w:tcBorders>
              <w:top w:val="single" w:color="CCCCCC" w:sz="2"/>
              <w:left w:val="single" w:color="CCCCCC" w:sz="2"/>
              <w:bottom w:val="single" w:color="CCCCCC" w:sz="2"/>
              <w:right w:val="single" w:color="CCCCCC" w:sz="2"/>
            </w:tcBorders>
            <w:shd w:fill="D1F2EB" w:val="clear"/>
            <w:tcMar>
              <w:top w:type="dxa" w:w="80"/>
              <w:left w:type="dxa" w:w="120"/>
              <w:bottom w:type="dxa" w:w="80"/>
              <w:right w:type="dxa" w:w="120"/>
            </w:tcMar>
            <w:vAlign w:val="center"/>
          </w:tcPr>
          <w:p>
            <w:pPr>
              <w:spacing w:before="0" w:after="100"/>
              <w:jc w:val="left"/>
            </w:pPr>
            <w:r>
              <w:rPr>
                <w:rFonts w:ascii="Arial" w:cs="Arial" w:eastAsia="Arial" w:hAnsi="Arial"/>
                <w:b/>
                <w:bCs/>
                <w:i w:val="false"/>
                <w:iCs w:val="false"/>
                <w:color w:val="117A65"/>
                <w:sz w:val="19"/>
                <w:szCs w:val="19"/>
              </w:rPr>
              <w:t xml:space="preserve">Performance Tuning</w:t>
            </w:r>
          </w:p>
        </w:tc>
        <w:tc>
          <w:tcPr>
            <w:tcW w:type="dxa" w:w="784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111111"/>
                <w:sz w:val="19"/>
                <w:szCs w:val="19"/>
              </w:rPr>
              <w:t xml:space="preserve">shared_buffers = 25% of RAM. work_mem = 64MB per query. effective_cache_size = 75% of RAM. autovacuum = on with autovacuum_vacuum_scale_factor = 0.01 for high-churn transaction tables.</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spacing w:before="0" w:after="100"/>
              <w:jc w:val="left"/>
            </w:pPr>
            <w:r>
              <w:rPr>
                <w:rFonts w:ascii="Arial" w:cs="Arial" w:eastAsia="Arial" w:hAnsi="Arial"/>
                <w:b/>
                <w:bCs/>
                <w:i w:val="false"/>
                <w:iCs w:val="false"/>
                <w:color w:val="117A65"/>
                <w:sz w:val="19"/>
                <w:szCs w:val="19"/>
              </w:rPr>
              <w:t xml:space="preserve">Audit Logging</w:t>
            </w:r>
          </w:p>
        </w:tc>
        <w:tc>
          <w:tcPr>
            <w:tcW w:type="dxa" w:w="784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111111"/>
                <w:sz w:val="19"/>
                <w:szCs w:val="19"/>
              </w:rPr>
              <w:t xml:space="preserve">Enable pgaudit extension. Log all DDL, WRITE, and ROLE operations. Log destination: syslog forwarded to centralized SIEM. Retain audit logs for 7 years per PCI-DSS Requirement 10.7.</w:t>
            </w:r>
          </w:p>
        </w:tc>
      </w:tr>
    </w:tbl>
    <w:p>
      <w:pPr>
        <w:spacing w:before="0" w:after="80"/>
      </w:pPr>
    </w:p>
    <w:p>
      <w:pPr>
        <w:spacing w:before="0" w:after="40"/>
        <w:jc w:val="left"/>
      </w:pPr>
      <w:r>
        <w:rPr>
          <w:rFonts w:ascii="Arial" w:cs="Arial" w:eastAsia="Arial" w:hAnsi="Arial"/>
          <w:b/>
          <w:bCs/>
          <w:i w:val="false"/>
          <w:iCs w:val="false"/>
          <w:color w:val="117A65"/>
          <w:sz w:val="19"/>
          <w:szCs w:val="19"/>
        </w:rPr>
        <w:t xml:space="preserve">Key postgresql.conf settings: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single" w:color="2E7D32" w:sz="2"/>
              <w:left w:val="single" w:color="2E7D32" w:sz="2"/>
              <w:bottom w:val="single" w:color="2E7D32" w:sz="2"/>
              <w:right w:val="single" w:color="2E7D32" w:sz="2"/>
            </w:tcBorders>
            <w:shd w:fill="1E2D1E" w:val="clear"/>
            <w:tcMar>
              <w:top w:type="dxa" w:w="120"/>
              <w:left w:type="dxa" w:w="200"/>
              <w:bottom w:type="dxa" w:w="120"/>
              <w:right w:type="dxa" w:w="200"/>
            </w:tcMar>
            <w:vAlign w:val="top"/>
          </w:tcPr>
          <w:p>
            <w:pPr>
              <w:spacing w:before="0" w:after="60"/>
            </w:pPr>
            <w:r>
              <w:rPr>
                <w:rFonts w:ascii="Courier New" w:cs="Courier New" w:eastAsia="Courier New" w:hAnsi="Courier New"/>
                <w:color w:val="1A3A1A"/>
                <w:sz w:val="18"/>
                <w:szCs w:val="18"/>
              </w:rPr>
              <w:t xml:space="preserve"># /etc/postgresql/15/main/postgresql.conf</w:t>
            </w:r>
          </w:p>
          <w:p>
            <w:pPr>
              <w:spacing w:before="0" w:after="60"/>
            </w:pPr>
            <w:r>
              <w:rPr>
                <w:rFonts w:ascii="Courier New" w:cs="Courier New" w:eastAsia="Courier New" w:hAnsi="Courier New"/>
                <w:color w:val="1A3A1A"/>
                <w:sz w:val="18"/>
                <w:szCs w:val="18"/>
              </w:rPr>
              <w:t xml:space="preserve">listen_addresses = 'localhost'          # Never expose externally</w:t>
            </w:r>
          </w:p>
          <w:p>
            <w:pPr>
              <w:spacing w:before="0" w:after="60"/>
            </w:pPr>
            <w:r>
              <w:rPr>
                <w:rFonts w:ascii="Courier New" w:cs="Courier New" w:eastAsia="Courier New" w:hAnsi="Courier New"/>
                <w:color w:val="1A3A1A"/>
                <w:sz w:val="18"/>
                <w:szCs w:val="18"/>
              </w:rPr>
              <w:t xml:space="preserve">port = 5432</w:t>
            </w:r>
          </w:p>
          <w:p>
            <w:pPr>
              <w:spacing w:before="0" w:after="60"/>
            </w:pPr>
            <w:r>
              <w:rPr>
                <w:rFonts w:ascii="Courier New" w:cs="Courier New" w:eastAsia="Courier New" w:hAnsi="Courier New"/>
                <w:color w:val="1A3A1A"/>
                <w:sz w:val="18"/>
                <w:szCs w:val="18"/>
              </w:rPr>
              <w:t xml:space="preserve">ssl = on</w:t>
            </w:r>
          </w:p>
          <w:p>
            <w:pPr>
              <w:spacing w:before="0" w:after="60"/>
            </w:pPr>
            <w:r>
              <w:rPr>
                <w:rFonts w:ascii="Courier New" w:cs="Courier New" w:eastAsia="Courier New" w:hAnsi="Courier New"/>
                <w:color w:val="1A3A1A"/>
                <w:sz w:val="18"/>
                <w:szCs w:val="18"/>
              </w:rPr>
              <w:t xml:space="preserve">ssl_min_protocol_version = 'TLSv1.2'</w:t>
            </w:r>
          </w:p>
          <w:p>
            <w:pPr>
              <w:spacing w:before="0" w:after="60"/>
            </w:pPr>
            <w:r>
              <w:rPr>
                <w:rFonts w:ascii="Courier New" w:cs="Courier New" w:eastAsia="Courier New" w:hAnsi="Courier New"/>
                <w:color w:val="1A3A1A"/>
                <w:sz w:val="18"/>
                <w:szCs w:val="18"/>
              </w:rPr>
              <w:t xml:space="preserve">shared_buffers = 4GB                    # 25% of 16GB RAM</w:t>
            </w:r>
          </w:p>
          <w:p>
            <w:pPr>
              <w:spacing w:before="0" w:after="60"/>
            </w:pPr>
            <w:r>
              <w:rPr>
                <w:rFonts w:ascii="Courier New" w:cs="Courier New" w:eastAsia="Courier New" w:hAnsi="Courier New"/>
                <w:color w:val="1A3A1A"/>
                <w:sz w:val="18"/>
                <w:szCs w:val="18"/>
              </w:rPr>
              <w:t xml:space="preserve">work_mem = 64MB</w:t>
            </w:r>
          </w:p>
          <w:p>
            <w:pPr>
              <w:spacing w:before="0" w:after="60"/>
            </w:pPr>
            <w:r>
              <w:rPr>
                <w:rFonts w:ascii="Courier New" w:cs="Courier New" w:eastAsia="Courier New" w:hAnsi="Courier New"/>
                <w:color w:val="1A3A1A"/>
                <w:sz w:val="18"/>
                <w:szCs w:val="18"/>
              </w:rPr>
              <w:t xml:space="preserve">wal_level = replica</w:t>
            </w:r>
          </w:p>
          <w:p>
            <w:pPr>
              <w:spacing w:before="0" w:after="60"/>
            </w:pPr>
            <w:r>
              <w:rPr>
                <w:rFonts w:ascii="Courier New" w:cs="Courier New" w:eastAsia="Courier New" w:hAnsi="Courier New"/>
                <w:color w:val="1A3A1A"/>
                <w:sz w:val="18"/>
                <w:szCs w:val="18"/>
              </w:rPr>
              <w:t xml:space="preserve">max_wal_senders = 5</w:t>
            </w:r>
          </w:p>
          <w:p>
            <w:pPr>
              <w:spacing w:before="0" w:after="60"/>
            </w:pPr>
            <w:r>
              <w:rPr>
                <w:rFonts w:ascii="Courier New" w:cs="Courier New" w:eastAsia="Courier New" w:hAnsi="Courier New"/>
                <w:color w:val="1A3A1A"/>
                <w:sz w:val="18"/>
                <w:szCs w:val="18"/>
              </w:rPr>
              <w:t xml:space="preserve">archive_mode = on</w:t>
            </w:r>
          </w:p>
          <w:p>
            <w:pPr>
              <w:spacing w:before="0" w:after="60"/>
            </w:pPr>
            <w:r>
              <w:rPr>
                <w:rFonts w:ascii="Courier New" w:cs="Courier New" w:eastAsia="Courier New" w:hAnsi="Courier New"/>
                <w:color w:val="1A3A1A"/>
                <w:sz w:val="18"/>
                <w:szCs w:val="18"/>
              </w:rPr>
              <w:t xml:space="preserve">archive_command = 'cp %p /var/lib/postgresql/archive/%f'</w:t>
            </w:r>
          </w:p>
          <w:p>
            <w:pPr>
              <w:spacing w:before="0" w:after="60"/>
            </w:pPr>
            <w:r>
              <w:rPr>
                <w:rFonts w:ascii="Courier New" w:cs="Courier New" w:eastAsia="Courier New" w:hAnsi="Courier New"/>
                <w:color w:val="1A3A1A"/>
                <w:sz w:val="18"/>
                <w:szCs w:val="18"/>
              </w:rPr>
              <w:t xml:space="preserve">log_connections = on</w:t>
            </w:r>
          </w:p>
          <w:p>
            <w:pPr>
              <w:spacing w:before="0" w:after="60"/>
            </w:pPr>
            <w:r>
              <w:rPr>
                <w:rFonts w:ascii="Courier New" w:cs="Courier New" w:eastAsia="Courier New" w:hAnsi="Courier New"/>
                <w:color w:val="1A3A1A"/>
                <w:sz w:val="18"/>
                <w:szCs w:val="18"/>
              </w:rPr>
              <w:t xml:space="preserve">log_disconnections = on</w:t>
            </w:r>
          </w:p>
          <w:p>
            <w:pPr>
              <w:spacing w:before="0" w:after="60"/>
            </w:pPr>
            <w:r>
              <w:rPr>
                <w:rFonts w:ascii="Courier New" w:cs="Courier New" w:eastAsia="Courier New" w:hAnsi="Courier New"/>
                <w:color w:val="1A3A1A"/>
                <w:sz w:val="18"/>
                <w:szCs w:val="18"/>
              </w:rPr>
              <w:t xml:space="preserve">shared_preload_libraries = 'pgaudit'</w:t>
            </w:r>
          </w:p>
          <w:p>
            <w:pPr>
              <w:spacing w:before="0" w:after="60"/>
            </w:pPr>
            <w:r>
              <w:rPr>
                <w:rFonts w:ascii="Courier New" w:cs="Courier New" w:eastAsia="Courier New" w:hAnsi="Courier New"/>
                <w:color w:val="1A3A1A"/>
                <w:sz w:val="18"/>
                <w:szCs w:val="18"/>
              </w:rPr>
              <w:t xml:space="preserve">pgaudit.log = 'ddl, write, role'</w:t>
            </w:r>
          </w:p>
        </w:tc>
      </w:tr>
    </w:tbl>
    <w:p>
      <w:pPr>
        <w:spacing w:before="0" w:after="160"/>
      </w:pP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single" w:color="2E75B6" w:sz="2"/>
              <w:left w:val="single" w:color="2E75B6" w:sz="2"/>
              <w:bottom w:val="single" w:color="2E75B6" w:sz="2"/>
              <w:right w:val="single" w:color="2E75B6" w:sz="2"/>
            </w:tcBorders>
            <w:shd w:fill="2E75B6" w:val="clear"/>
            <w:tcMar>
              <w:top w:type="dxa" w:w="100"/>
              <w:left w:type="dxa" w:w="200"/>
              <w:bottom w:type="dxa" w:w="100"/>
              <w:right w:type="dxa" w:w="200"/>
            </w:tcMar>
            <w:vAlign w:val="top"/>
          </w:tcPr>
          <w:p>
            <w:pPr>
              <w:spacing w:before="0" w:after="100"/>
              <w:jc w:val="left"/>
            </w:pPr>
            <w:r>
              <w:rPr>
                <w:rFonts w:ascii="Arial" w:cs="Arial" w:eastAsia="Arial" w:hAnsi="Arial"/>
                <w:b/>
                <w:bCs/>
                <w:i w:val="false"/>
                <w:iCs w:val="false"/>
                <w:color w:val="FFFFFF"/>
                <w:sz w:val="22"/>
                <w:szCs w:val="22"/>
              </w:rPr>
              <w:t xml:space="preserve">A2: API Gateway (Kong / NGINX) Configuration Guide</w:t>
            </w:r>
          </w:p>
        </w:tc>
      </w:tr>
    </w:tbl>
    <w:p>
      <w:pPr>
        <w:spacing w:before="0" w:after="60"/>
      </w:pP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600"/>
        <w:gridCol w:w="7840"/>
      </w:tblGrid>
      <w:tr>
        <w:tc>
          <w:tcPr>
            <w:tcW w:type="dxa" w:w="2600"/>
            <w:tcBorders>
              <w:top w:val="single" w:color="1F3864" w:sz="2"/>
              <w:left w:val="single" w:color="1F3864" w:sz="2"/>
              <w:bottom w:val="single" w:color="1F3864" w:sz="2"/>
              <w:right w:val="single" w:color="1F3864" w:sz="2"/>
            </w:tcBorders>
            <w:shd w:fill="1F3864" w:val="clear"/>
            <w:tcMar>
              <w:top w:type="dxa" w:w="100"/>
              <w:left w:type="dxa" w:w="120"/>
              <w:bottom w:type="dxa" w:w="100"/>
              <w:right w:type="dxa" w:w="120"/>
            </w:tcMar>
            <w:vAlign w:val="top"/>
          </w:tcPr>
          <w:p>
            <w:pPr>
              <w:spacing w:before="0" w:after="100"/>
              <w:jc w:val="center"/>
            </w:pPr>
            <w:r>
              <w:rPr>
                <w:rFonts w:ascii="Arial" w:cs="Arial" w:eastAsia="Arial" w:hAnsi="Arial"/>
                <w:b/>
                <w:bCs/>
                <w:i w:val="false"/>
                <w:iCs w:val="false"/>
                <w:color w:val="FFFFFF"/>
                <w:sz w:val="20"/>
                <w:szCs w:val="20"/>
              </w:rPr>
              <w:t xml:space="preserve">Config Area</w:t>
            </w:r>
          </w:p>
        </w:tc>
        <w:tc>
          <w:tcPr>
            <w:tcW w:type="dxa" w:w="7840"/>
            <w:tcBorders>
              <w:top w:val="single" w:color="1F3864" w:sz="2"/>
              <w:left w:val="single" w:color="1F3864" w:sz="2"/>
              <w:bottom w:val="single" w:color="1F3864" w:sz="2"/>
              <w:right w:val="single" w:color="1F3864" w:sz="2"/>
            </w:tcBorders>
            <w:shd w:fill="1F3864" w:val="clear"/>
            <w:tcMar>
              <w:top w:type="dxa" w:w="100"/>
              <w:left w:type="dxa" w:w="120"/>
              <w:bottom w:type="dxa" w:w="100"/>
              <w:right w:type="dxa" w:w="120"/>
            </w:tcMar>
            <w:vAlign w:val="top"/>
          </w:tcPr>
          <w:p>
            <w:pPr>
              <w:spacing w:before="0" w:after="100"/>
              <w:jc w:val="left"/>
            </w:pPr>
            <w:r>
              <w:rPr>
                <w:rFonts w:ascii="Arial" w:cs="Arial" w:eastAsia="Arial" w:hAnsi="Arial"/>
                <w:b/>
                <w:bCs/>
                <w:i w:val="false"/>
                <w:iCs w:val="false"/>
                <w:color w:val="FFFFFF"/>
                <w:sz w:val="20"/>
                <w:szCs w:val="20"/>
              </w:rPr>
              <w:t xml:space="preserve">Configuration Detail</w:t>
            </w:r>
          </w:p>
        </w:tc>
      </w:tr>
      <w:tr>
        <w:tc>
          <w:tcPr>
            <w:tcW w:type="dxa" w:w="2600"/>
            <w:tcBorders>
              <w:top w:val="single" w:color="CCCCCC" w:sz="2"/>
              <w:left w:val="single" w:color="CCCCCC" w:sz="2"/>
              <w:bottom w:val="single" w:color="CCCCCC" w:sz="2"/>
              <w:right w:val="single" w:color="CCCCCC" w:sz="2"/>
            </w:tcBorders>
            <w:shd w:fill="D6E4F0" w:val="clear"/>
            <w:tcMar>
              <w:top w:type="dxa" w:w="80"/>
              <w:left w:type="dxa" w:w="120"/>
              <w:bottom w:type="dxa" w:w="80"/>
              <w:right w:type="dxa" w:w="120"/>
            </w:tcMar>
            <w:vAlign w:val="center"/>
          </w:tcPr>
          <w:p>
            <w:pPr>
              <w:spacing w:before="0" w:after="100"/>
              <w:jc w:val="left"/>
            </w:pPr>
            <w:r>
              <w:rPr>
                <w:rFonts w:ascii="Arial" w:cs="Arial" w:eastAsia="Arial" w:hAnsi="Arial"/>
                <w:b/>
                <w:bCs/>
                <w:i w:val="false"/>
                <w:iCs w:val="false"/>
                <w:color w:val="2E75B6"/>
                <w:sz w:val="19"/>
                <w:szCs w:val="19"/>
              </w:rPr>
              <w:t xml:space="preserve">TLS Termination</w:t>
            </w:r>
          </w:p>
        </w:tc>
        <w:tc>
          <w:tcPr>
            <w:tcW w:type="dxa" w:w="784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111111"/>
                <w:sz w:val="19"/>
                <w:szCs w:val="19"/>
              </w:rPr>
              <w:t xml:space="preserve">Terminate TLS at the API Gateway. Enforce TLS 1.2 minimum. Use HSTS header: Strict-Transport-Security: max-age=31536000; includeSubDomains. Redirect all HTTP traffic to HTTPS.</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spacing w:before="0" w:after="100"/>
              <w:jc w:val="left"/>
            </w:pPr>
            <w:r>
              <w:rPr>
                <w:rFonts w:ascii="Arial" w:cs="Arial" w:eastAsia="Arial" w:hAnsi="Arial"/>
                <w:b/>
                <w:bCs/>
                <w:i w:val="false"/>
                <w:iCs w:val="false"/>
                <w:color w:val="2E75B6"/>
                <w:sz w:val="19"/>
                <w:szCs w:val="19"/>
              </w:rPr>
              <w:t xml:space="preserve">JWT Validation</w:t>
            </w:r>
          </w:p>
        </w:tc>
        <w:tc>
          <w:tcPr>
            <w:tcW w:type="dxa" w:w="784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111111"/>
                <w:sz w:val="19"/>
                <w:szCs w:val="19"/>
              </w:rPr>
              <w:t xml:space="preserve">Validate JWT tokens on every request using Kong JWT plugin. Secret stored in Kubernetes Secret mounted as environment variable. Token expiry: 15 minutes. Refresh token: 8 hours.</w:t>
            </w:r>
          </w:p>
        </w:tc>
      </w:tr>
      <w:tr>
        <w:tc>
          <w:tcPr>
            <w:tcW w:type="dxa" w:w="2600"/>
            <w:tcBorders>
              <w:top w:val="single" w:color="CCCCCC" w:sz="2"/>
              <w:left w:val="single" w:color="CCCCCC" w:sz="2"/>
              <w:bottom w:val="single" w:color="CCCCCC" w:sz="2"/>
              <w:right w:val="single" w:color="CCCCCC" w:sz="2"/>
            </w:tcBorders>
            <w:shd w:fill="D6E4F0" w:val="clear"/>
            <w:tcMar>
              <w:top w:type="dxa" w:w="80"/>
              <w:left w:type="dxa" w:w="120"/>
              <w:bottom w:type="dxa" w:w="80"/>
              <w:right w:type="dxa" w:w="120"/>
            </w:tcMar>
            <w:vAlign w:val="center"/>
          </w:tcPr>
          <w:p>
            <w:pPr>
              <w:spacing w:before="0" w:after="100"/>
              <w:jc w:val="left"/>
            </w:pPr>
            <w:r>
              <w:rPr>
                <w:rFonts w:ascii="Arial" w:cs="Arial" w:eastAsia="Arial" w:hAnsi="Arial"/>
                <w:b/>
                <w:bCs/>
                <w:i w:val="false"/>
                <w:iCs w:val="false"/>
                <w:color w:val="2E75B6"/>
                <w:sz w:val="19"/>
                <w:szCs w:val="19"/>
              </w:rPr>
              <w:t xml:space="preserve">Rate Limiting</w:t>
            </w:r>
          </w:p>
        </w:tc>
        <w:tc>
          <w:tcPr>
            <w:tcW w:type="dxa" w:w="784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111111"/>
                <w:sz w:val="19"/>
                <w:szCs w:val="19"/>
              </w:rPr>
              <w:t xml:space="preserve">Global rate limit: 1,000 requests/minute per IP. Per-consumer limit: 200 requests/minute for authenticated users. Loan submission endpoint: 10 requests/minute per account. Return HTTP 429 on breach.</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spacing w:before="0" w:after="100"/>
              <w:jc w:val="left"/>
            </w:pPr>
            <w:r>
              <w:rPr>
                <w:rFonts w:ascii="Arial" w:cs="Arial" w:eastAsia="Arial" w:hAnsi="Arial"/>
                <w:b/>
                <w:bCs/>
                <w:i w:val="false"/>
                <w:iCs w:val="false"/>
                <w:color w:val="2E75B6"/>
                <w:sz w:val="19"/>
                <w:szCs w:val="19"/>
              </w:rPr>
              <w:t xml:space="preserve">Service Routing</w:t>
            </w:r>
          </w:p>
        </w:tc>
        <w:tc>
          <w:tcPr>
            <w:tcW w:type="dxa" w:w="784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111111"/>
                <w:sz w:val="19"/>
                <w:szCs w:val="19"/>
              </w:rPr>
              <w:t xml:space="preserve">Route /api/auth/* → auth-service:3000. Route /api/loans/* → loan-service:3001. Route /api/onboard/* → onboarding-service:3002. Health check route: /health → all services in parallel.</w:t>
            </w:r>
          </w:p>
        </w:tc>
      </w:tr>
      <w:tr>
        <w:tc>
          <w:tcPr>
            <w:tcW w:type="dxa" w:w="2600"/>
            <w:tcBorders>
              <w:top w:val="single" w:color="CCCCCC" w:sz="2"/>
              <w:left w:val="single" w:color="CCCCCC" w:sz="2"/>
              <w:bottom w:val="single" w:color="CCCCCC" w:sz="2"/>
              <w:right w:val="single" w:color="CCCCCC" w:sz="2"/>
            </w:tcBorders>
            <w:shd w:fill="D6E4F0" w:val="clear"/>
            <w:tcMar>
              <w:top w:type="dxa" w:w="80"/>
              <w:left w:type="dxa" w:w="120"/>
              <w:bottom w:type="dxa" w:w="80"/>
              <w:right w:type="dxa" w:w="120"/>
            </w:tcMar>
            <w:vAlign w:val="center"/>
          </w:tcPr>
          <w:p>
            <w:pPr>
              <w:spacing w:before="0" w:after="100"/>
              <w:jc w:val="left"/>
            </w:pPr>
            <w:r>
              <w:rPr>
                <w:rFonts w:ascii="Arial" w:cs="Arial" w:eastAsia="Arial" w:hAnsi="Arial"/>
                <w:b/>
                <w:bCs/>
                <w:i w:val="false"/>
                <w:iCs w:val="false"/>
                <w:color w:val="2E75B6"/>
                <w:sz w:val="19"/>
                <w:szCs w:val="19"/>
              </w:rPr>
              <w:t xml:space="preserve">Request Logging</w:t>
            </w:r>
          </w:p>
        </w:tc>
        <w:tc>
          <w:tcPr>
            <w:tcW w:type="dxa" w:w="784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111111"/>
                <w:sz w:val="19"/>
                <w:szCs w:val="19"/>
              </w:rPr>
              <w:t xml:space="preserve">Log all requests: method, path, status code, latency, consumer ID, IP. Forward to ELK stack / IBM Log Analysis. Exclude sensitive headers (Authorization, X-API-Key) from logs.</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spacing w:before="0" w:after="100"/>
              <w:jc w:val="left"/>
            </w:pPr>
            <w:r>
              <w:rPr>
                <w:rFonts w:ascii="Arial" w:cs="Arial" w:eastAsia="Arial" w:hAnsi="Arial"/>
                <w:b/>
                <w:bCs/>
                <w:i w:val="false"/>
                <w:iCs w:val="false"/>
                <w:color w:val="2E75B6"/>
                <w:sz w:val="19"/>
                <w:szCs w:val="19"/>
              </w:rPr>
              <w:t xml:space="preserve">Circuit Breaker</w:t>
            </w:r>
          </w:p>
        </w:tc>
        <w:tc>
          <w:tcPr>
            <w:tcW w:type="dxa" w:w="784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111111"/>
                <w:sz w:val="19"/>
                <w:szCs w:val="19"/>
              </w:rPr>
              <w:t xml:space="preserve">Enable circuit breaker: trip after 5 consecutive failures within 30 seconds. Half-open state after 60 seconds. Full open after 2 successful health checks. Return 503 with Retry-After header.</w:t>
            </w:r>
          </w:p>
        </w:tc>
      </w:tr>
    </w:tbl>
    <w:p>
      <w:pPr>
        <w:spacing w:before="0" w:after="80"/>
      </w:pPr>
    </w:p>
    <w:p>
      <w:pPr>
        <w:spacing w:before="0" w:after="40"/>
        <w:jc w:val="left"/>
      </w:pPr>
      <w:r>
        <w:rPr>
          <w:rFonts w:ascii="Arial" w:cs="Arial" w:eastAsia="Arial" w:hAnsi="Arial"/>
          <w:b/>
          <w:bCs/>
          <w:i w:val="false"/>
          <w:iCs w:val="false"/>
          <w:color w:val="2E75B6"/>
          <w:sz w:val="19"/>
          <w:szCs w:val="19"/>
        </w:rPr>
        <w:t xml:space="preserve">Kong declarative config snippet (kong.yml):</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single" w:color="2E7D32" w:sz="2"/>
              <w:left w:val="single" w:color="2E7D32" w:sz="2"/>
              <w:bottom w:val="single" w:color="2E7D32" w:sz="2"/>
              <w:right w:val="single" w:color="2E7D32" w:sz="2"/>
            </w:tcBorders>
            <w:shd w:fill="1E2D1E" w:val="clear"/>
            <w:tcMar>
              <w:top w:type="dxa" w:w="120"/>
              <w:left w:type="dxa" w:w="200"/>
              <w:bottom w:type="dxa" w:w="120"/>
              <w:right w:type="dxa" w:w="200"/>
            </w:tcMar>
            <w:vAlign w:val="top"/>
          </w:tcPr>
          <w:p>
            <w:pPr>
              <w:spacing w:before="0" w:after="60"/>
            </w:pPr>
            <w:r>
              <w:rPr>
                <w:rFonts w:ascii="Courier New" w:cs="Courier New" w:eastAsia="Courier New" w:hAnsi="Courier New"/>
                <w:color w:val="1A3A1A"/>
                <w:sz w:val="18"/>
                <w:szCs w:val="18"/>
              </w:rPr>
              <w:t xml:space="preserve"># kong.yml — declarative configuration</w:t>
            </w:r>
          </w:p>
          <w:p>
            <w:pPr>
              <w:spacing w:before="0" w:after="60"/>
            </w:pPr>
            <w:r>
              <w:rPr>
                <w:rFonts w:ascii="Courier New" w:cs="Courier New" w:eastAsia="Courier New" w:hAnsi="Courier New"/>
                <w:color w:val="1A3A1A"/>
                <w:sz w:val="18"/>
                <w:szCs w:val="18"/>
              </w:rPr>
              <w:t xml:space="preserve">services:</w:t>
            </w:r>
          </w:p>
          <w:p>
            <w:pPr>
              <w:spacing w:before="0" w:after="60"/>
            </w:pPr>
            <w:r>
              <w:rPr>
                <w:rFonts w:ascii="Courier New" w:cs="Courier New" w:eastAsia="Courier New" w:hAnsi="Courier New"/>
                <w:color w:val="1A3A1A"/>
                <w:sz w:val="18"/>
                <w:szCs w:val="18"/>
              </w:rPr>
              <w:t xml:space="preserve">  - name: auth-service</w:t>
            </w:r>
          </w:p>
          <w:p>
            <w:pPr>
              <w:spacing w:before="0" w:after="60"/>
            </w:pPr>
            <w:r>
              <w:rPr>
                <w:rFonts w:ascii="Courier New" w:cs="Courier New" w:eastAsia="Courier New" w:hAnsi="Courier New"/>
                <w:color w:val="1A3A1A"/>
                <w:sz w:val="18"/>
                <w:szCs w:val="18"/>
              </w:rPr>
              <w:t xml:space="preserve">    url: http://auth-service:3000</w:t>
            </w:r>
          </w:p>
          <w:p>
            <w:pPr>
              <w:spacing w:before="0" w:after="60"/>
            </w:pPr>
            <w:r>
              <w:rPr>
                <w:rFonts w:ascii="Courier New" w:cs="Courier New" w:eastAsia="Courier New" w:hAnsi="Courier New"/>
                <w:color w:val="1A3A1A"/>
                <w:sz w:val="18"/>
                <w:szCs w:val="18"/>
              </w:rPr>
              <w:t xml:space="preserve">    routes:</w:t>
            </w:r>
          </w:p>
          <w:p>
            <w:pPr>
              <w:spacing w:before="0" w:after="60"/>
            </w:pPr>
            <w:r>
              <w:rPr>
                <w:rFonts w:ascii="Courier New" w:cs="Courier New" w:eastAsia="Courier New" w:hAnsi="Courier New"/>
                <w:color w:val="1A3A1A"/>
                <w:sz w:val="18"/>
                <w:szCs w:val="18"/>
              </w:rPr>
              <w:t xml:space="preserve">      - name: auth-route</w:t>
            </w:r>
          </w:p>
          <w:p>
            <w:pPr>
              <w:spacing w:before="0" w:after="60"/>
            </w:pPr>
            <w:r>
              <w:rPr>
                <w:rFonts w:ascii="Courier New" w:cs="Courier New" w:eastAsia="Courier New" w:hAnsi="Courier New"/>
                <w:color w:val="1A3A1A"/>
                <w:sz w:val="18"/>
                <w:szCs w:val="18"/>
              </w:rPr>
              <w:t xml:space="preserve">        paths: ["/api/auth"]</w:t>
            </w:r>
          </w:p>
          <w:p>
            <w:pPr>
              <w:spacing w:before="0" w:after="60"/>
            </w:pPr>
            <w:r>
              <w:rPr>
                <w:rFonts w:ascii="Courier New" w:cs="Courier New" w:eastAsia="Courier New" w:hAnsi="Courier New"/>
                <w:color w:val="1A3A1A"/>
                <w:sz w:val="18"/>
                <w:szCs w:val="18"/>
              </w:rPr>
              <w:t xml:space="preserve">    plugins:</w:t>
            </w:r>
          </w:p>
          <w:p>
            <w:pPr>
              <w:spacing w:before="0" w:after="60"/>
            </w:pPr>
            <w:r>
              <w:rPr>
                <w:rFonts w:ascii="Courier New" w:cs="Courier New" w:eastAsia="Courier New" w:hAnsi="Courier New"/>
                <w:color w:val="1A3A1A"/>
                <w:sz w:val="18"/>
                <w:szCs w:val="18"/>
              </w:rPr>
              <w:t xml:space="preserve">      - name: jwt</w:t>
            </w:r>
          </w:p>
          <w:p>
            <w:pPr>
              <w:spacing w:before="0" w:after="60"/>
            </w:pPr>
            <w:r>
              <w:rPr>
                <w:rFonts w:ascii="Courier New" w:cs="Courier New" w:eastAsia="Courier New" w:hAnsi="Courier New"/>
                <w:color w:val="1A3A1A"/>
                <w:sz w:val="18"/>
                <w:szCs w:val="18"/>
              </w:rPr>
              <w:t xml:space="preserve">      - name: rate-limiting</w:t>
            </w:r>
          </w:p>
          <w:p>
            <w:pPr>
              <w:spacing w:before="0" w:after="60"/>
            </w:pPr>
            <w:r>
              <w:rPr>
                <w:rFonts w:ascii="Courier New" w:cs="Courier New" w:eastAsia="Courier New" w:hAnsi="Courier New"/>
                <w:color w:val="1A3A1A"/>
                <w:sz w:val="18"/>
                <w:szCs w:val="18"/>
              </w:rPr>
              <w:t xml:space="preserve">        config: { minute: 200, policy: local }</w:t>
            </w:r>
          </w:p>
          <w:p>
            <w:pPr>
              <w:spacing w:before="0" w:after="60"/>
            </w:pPr>
            <w:r>
              <w:rPr>
                <w:rFonts w:ascii="Courier New" w:cs="Courier New" w:eastAsia="Courier New" w:hAnsi="Courier New"/>
                <w:color w:val="1A3A1A"/>
                <w:sz w:val="18"/>
                <w:szCs w:val="18"/>
              </w:rPr>
              <w:t xml:space="preserve">      - name: request-termination</w:t>
            </w:r>
          </w:p>
          <w:p>
            <w:pPr>
              <w:spacing w:before="0" w:after="60"/>
            </w:pPr>
            <w:r>
              <w:rPr>
                <w:rFonts w:ascii="Courier New" w:cs="Courier New" w:eastAsia="Courier New" w:hAnsi="Courier New"/>
                <w:color w:val="1A3A1A"/>
                <w:sz w:val="18"/>
                <w:szCs w:val="18"/>
              </w:rPr>
              <w:t xml:space="preserve">        config: { status_code: 429, message: Rate limit exceeded }</w:t>
            </w:r>
          </w:p>
          <w:p>
            <w:pPr>
              <w:spacing w:before="0" w:after="60"/>
            </w:pPr>
            <w:r>
              <w:rPr>
                <w:rFonts w:ascii="Courier New" w:cs="Courier New" w:eastAsia="Courier New" w:hAnsi="Courier New"/>
                <w:color w:val="1A3A1A"/>
                <w:sz w:val="18"/>
                <w:szCs w:val="18"/>
              </w:rPr>
              <w:t xml:space="preserve">  - name: loan-service</w:t>
            </w:r>
          </w:p>
          <w:p>
            <w:pPr>
              <w:spacing w:before="0" w:after="60"/>
            </w:pPr>
            <w:r>
              <w:rPr>
                <w:rFonts w:ascii="Courier New" w:cs="Courier New" w:eastAsia="Courier New" w:hAnsi="Courier New"/>
                <w:color w:val="1A3A1A"/>
                <w:sz w:val="18"/>
                <w:szCs w:val="18"/>
              </w:rPr>
              <w:t xml:space="preserve">    url: http://loan-service:3001</w:t>
            </w:r>
          </w:p>
          <w:p>
            <w:pPr>
              <w:spacing w:before="0" w:after="60"/>
            </w:pPr>
            <w:r>
              <w:rPr>
                <w:rFonts w:ascii="Courier New" w:cs="Courier New" w:eastAsia="Courier New" w:hAnsi="Courier New"/>
                <w:color w:val="1A3A1A"/>
                <w:sz w:val="18"/>
                <w:szCs w:val="18"/>
              </w:rPr>
              <w:t xml:space="preserve">    routes:</w:t>
            </w:r>
          </w:p>
          <w:p>
            <w:pPr>
              <w:spacing w:before="0" w:after="60"/>
            </w:pPr>
            <w:r>
              <w:rPr>
                <w:rFonts w:ascii="Courier New" w:cs="Courier New" w:eastAsia="Courier New" w:hAnsi="Courier New"/>
                <w:color w:val="1A3A1A"/>
                <w:sz w:val="18"/>
                <w:szCs w:val="18"/>
              </w:rPr>
              <w:t xml:space="preserve">      - name: loan-route</w:t>
            </w:r>
          </w:p>
          <w:p>
            <w:pPr>
              <w:spacing w:before="0" w:after="60"/>
            </w:pPr>
            <w:r>
              <w:rPr>
                <w:rFonts w:ascii="Courier New" w:cs="Courier New" w:eastAsia="Courier New" w:hAnsi="Courier New"/>
                <w:color w:val="1A3A1A"/>
                <w:sz w:val="18"/>
                <w:szCs w:val="18"/>
              </w:rPr>
              <w:t xml:space="preserve">        paths: ["/api/loans"]</w:t>
            </w:r>
          </w:p>
          <w:p>
            <w:pPr>
              <w:spacing w:before="0" w:after="60"/>
            </w:pPr>
            <w:r>
              <w:rPr>
                <w:rFonts w:ascii="Courier New" w:cs="Courier New" w:eastAsia="Courier New" w:hAnsi="Courier New"/>
                <w:color w:val="1A3A1A"/>
                <w:sz w:val="18"/>
                <w:szCs w:val="18"/>
              </w:rPr>
              <w:t xml:space="preserve">    plugins:</w:t>
            </w:r>
          </w:p>
          <w:p>
            <w:pPr>
              <w:spacing w:before="0" w:after="60"/>
            </w:pPr>
            <w:r>
              <w:rPr>
                <w:rFonts w:ascii="Courier New" w:cs="Courier New" w:eastAsia="Courier New" w:hAnsi="Courier New"/>
                <w:color w:val="1A3A1A"/>
                <w:sz w:val="18"/>
                <w:szCs w:val="18"/>
              </w:rPr>
              <w:t xml:space="preserve">      - name: jwt</w:t>
            </w:r>
          </w:p>
          <w:p>
            <w:pPr>
              <w:spacing w:before="0" w:after="60"/>
            </w:pPr>
            <w:r>
              <w:rPr>
                <w:rFonts w:ascii="Courier New" w:cs="Courier New" w:eastAsia="Courier New" w:hAnsi="Courier New"/>
                <w:color w:val="1A3A1A"/>
                <w:sz w:val="18"/>
                <w:szCs w:val="18"/>
              </w:rPr>
              <w:t xml:space="preserve">      - name: rate-limiting</w:t>
            </w:r>
          </w:p>
          <w:p>
            <w:pPr>
              <w:spacing w:before="0" w:after="60"/>
            </w:pPr>
            <w:r>
              <w:rPr>
                <w:rFonts w:ascii="Courier New" w:cs="Courier New" w:eastAsia="Courier New" w:hAnsi="Courier New"/>
                <w:color w:val="1A3A1A"/>
                <w:sz w:val="18"/>
                <w:szCs w:val="18"/>
              </w:rPr>
              <w:t xml:space="preserve">        config: { minute: 10, policy: local }</w:t>
            </w:r>
          </w:p>
        </w:tc>
      </w:tr>
    </w:tbl>
    <w:p>
      <w:pPr>
        <w:spacing w:before="0" w:after="160"/>
      </w:pP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single" w:color="6C3483" w:sz="2"/>
              <w:left w:val="single" w:color="6C3483" w:sz="2"/>
              <w:bottom w:val="single" w:color="6C3483" w:sz="2"/>
              <w:right w:val="single" w:color="6C3483" w:sz="2"/>
            </w:tcBorders>
            <w:shd w:fill="6C3483" w:val="clear"/>
            <w:tcMar>
              <w:top w:type="dxa" w:w="100"/>
              <w:left w:type="dxa" w:w="200"/>
              <w:bottom w:type="dxa" w:w="100"/>
              <w:right w:type="dxa" w:w="200"/>
            </w:tcMar>
            <w:vAlign w:val="top"/>
          </w:tcPr>
          <w:p>
            <w:pPr>
              <w:spacing w:before="0" w:after="100"/>
              <w:jc w:val="left"/>
            </w:pPr>
            <w:r>
              <w:rPr>
                <w:rFonts w:ascii="Arial" w:cs="Arial" w:eastAsia="Arial" w:hAnsi="Arial"/>
                <w:b/>
                <w:bCs/>
                <w:i w:val="false"/>
                <w:iCs w:val="false"/>
                <w:color w:val="FFFFFF"/>
                <w:sz w:val="22"/>
                <w:szCs w:val="22"/>
              </w:rPr>
              <w:t xml:space="preserve">A3: CI/CD Component Configuration Guide (Jenkins / GitHub Actions)</w:t>
            </w:r>
          </w:p>
        </w:tc>
      </w:tr>
    </w:tbl>
    <w:p>
      <w:pPr>
        <w:spacing w:before="0" w:after="60"/>
      </w:pP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600"/>
        <w:gridCol w:w="7840"/>
      </w:tblGrid>
      <w:tr>
        <w:tc>
          <w:tcPr>
            <w:tcW w:type="dxa" w:w="2600"/>
            <w:tcBorders>
              <w:top w:val="single" w:color="1F3864" w:sz="2"/>
              <w:left w:val="single" w:color="1F3864" w:sz="2"/>
              <w:bottom w:val="single" w:color="1F3864" w:sz="2"/>
              <w:right w:val="single" w:color="1F3864" w:sz="2"/>
            </w:tcBorders>
            <w:shd w:fill="1F3864" w:val="clear"/>
            <w:tcMar>
              <w:top w:type="dxa" w:w="100"/>
              <w:left w:type="dxa" w:w="120"/>
              <w:bottom w:type="dxa" w:w="100"/>
              <w:right w:type="dxa" w:w="120"/>
            </w:tcMar>
            <w:vAlign w:val="top"/>
          </w:tcPr>
          <w:p>
            <w:pPr>
              <w:spacing w:before="0" w:after="100"/>
              <w:jc w:val="center"/>
            </w:pPr>
            <w:r>
              <w:rPr>
                <w:rFonts w:ascii="Arial" w:cs="Arial" w:eastAsia="Arial" w:hAnsi="Arial"/>
                <w:b/>
                <w:bCs/>
                <w:i w:val="false"/>
                <w:iCs w:val="false"/>
                <w:color w:val="FFFFFF"/>
                <w:sz w:val="20"/>
                <w:szCs w:val="20"/>
              </w:rPr>
              <w:t xml:space="preserve">Component</w:t>
            </w:r>
          </w:p>
        </w:tc>
        <w:tc>
          <w:tcPr>
            <w:tcW w:type="dxa" w:w="7840"/>
            <w:tcBorders>
              <w:top w:val="single" w:color="1F3864" w:sz="2"/>
              <w:left w:val="single" w:color="1F3864" w:sz="2"/>
              <w:bottom w:val="single" w:color="1F3864" w:sz="2"/>
              <w:right w:val="single" w:color="1F3864" w:sz="2"/>
            </w:tcBorders>
            <w:shd w:fill="1F3864" w:val="clear"/>
            <w:tcMar>
              <w:top w:type="dxa" w:w="100"/>
              <w:left w:type="dxa" w:w="120"/>
              <w:bottom w:type="dxa" w:w="100"/>
              <w:right w:type="dxa" w:w="120"/>
            </w:tcMar>
            <w:vAlign w:val="top"/>
          </w:tcPr>
          <w:p>
            <w:pPr>
              <w:spacing w:before="0" w:after="100"/>
              <w:jc w:val="left"/>
            </w:pPr>
            <w:r>
              <w:rPr>
                <w:rFonts w:ascii="Arial" w:cs="Arial" w:eastAsia="Arial" w:hAnsi="Arial"/>
                <w:b/>
                <w:bCs/>
                <w:i w:val="false"/>
                <w:iCs w:val="false"/>
                <w:color w:val="FFFFFF"/>
                <w:sz w:val="20"/>
                <w:szCs w:val="20"/>
              </w:rPr>
              <w:t xml:space="preserve">Configuration Detail</w:t>
            </w:r>
          </w:p>
        </w:tc>
      </w:tr>
      <w:tr>
        <w:tc>
          <w:tcPr>
            <w:tcW w:type="dxa" w:w="2600"/>
            <w:tcBorders>
              <w:top w:val="single" w:color="CCCCCC" w:sz="2"/>
              <w:left w:val="single" w:color="CCCCCC" w:sz="2"/>
              <w:bottom w:val="single" w:color="CCCCCC" w:sz="2"/>
              <w:right w:val="single" w:color="CCCCCC" w:sz="2"/>
            </w:tcBorders>
            <w:shd w:fill="E8DAEF" w:val="clear"/>
            <w:tcMar>
              <w:top w:type="dxa" w:w="80"/>
              <w:left w:type="dxa" w:w="120"/>
              <w:bottom w:type="dxa" w:w="80"/>
              <w:right w:type="dxa" w:w="120"/>
            </w:tcMar>
            <w:vAlign w:val="center"/>
          </w:tcPr>
          <w:p>
            <w:pPr>
              <w:spacing w:before="0" w:after="100"/>
              <w:jc w:val="left"/>
            </w:pPr>
            <w:r>
              <w:rPr>
                <w:rFonts w:ascii="Arial" w:cs="Arial" w:eastAsia="Arial" w:hAnsi="Arial"/>
                <w:b/>
                <w:bCs/>
                <w:i w:val="false"/>
                <w:iCs w:val="false"/>
                <w:color w:val="6C3483"/>
                <w:sz w:val="19"/>
                <w:szCs w:val="19"/>
              </w:rPr>
              <w:t xml:space="preserve">Source Control (Git)</w:t>
            </w:r>
          </w:p>
        </w:tc>
        <w:tc>
          <w:tcPr>
            <w:tcW w:type="dxa" w:w="784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111111"/>
                <w:sz w:val="19"/>
                <w:szCs w:val="19"/>
              </w:rPr>
              <w:t xml:space="preserve">Branch protection on main: require 2 PR approvals + passing CI checks. Signed commits enforced via GPG keys. Pre-commit hooks: detect-secrets, gitleaks for credential scanning.</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spacing w:before="0" w:after="100"/>
              <w:jc w:val="left"/>
            </w:pPr>
            <w:r>
              <w:rPr>
                <w:rFonts w:ascii="Arial" w:cs="Arial" w:eastAsia="Arial" w:hAnsi="Arial"/>
                <w:b/>
                <w:bCs/>
                <w:i w:val="false"/>
                <w:iCs w:val="false"/>
                <w:color w:val="6C3483"/>
                <w:sz w:val="19"/>
                <w:szCs w:val="19"/>
              </w:rPr>
              <w:t xml:space="preserve">Build Agent Config</w:t>
            </w:r>
          </w:p>
        </w:tc>
        <w:tc>
          <w:tcPr>
            <w:tcW w:type="dxa" w:w="784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111111"/>
                <w:sz w:val="19"/>
                <w:szCs w:val="19"/>
              </w:rPr>
              <w:t xml:space="preserve">Use ephemeral Docker-in-Docker (DinD) agents. Agent image: jenkins/inbound-agent:jdk17. CPU: 2 cores, RAM: 4GB per agent. Auto-scale agents using Kubernetes Pod Template; destroy after each job.</w:t>
            </w:r>
          </w:p>
        </w:tc>
      </w:tr>
      <w:tr>
        <w:tc>
          <w:tcPr>
            <w:tcW w:type="dxa" w:w="2600"/>
            <w:tcBorders>
              <w:top w:val="single" w:color="CCCCCC" w:sz="2"/>
              <w:left w:val="single" w:color="CCCCCC" w:sz="2"/>
              <w:bottom w:val="single" w:color="CCCCCC" w:sz="2"/>
              <w:right w:val="single" w:color="CCCCCC" w:sz="2"/>
            </w:tcBorders>
            <w:shd w:fill="E8DAEF" w:val="clear"/>
            <w:tcMar>
              <w:top w:type="dxa" w:w="80"/>
              <w:left w:type="dxa" w:w="120"/>
              <w:bottom w:type="dxa" w:w="80"/>
              <w:right w:type="dxa" w:w="120"/>
            </w:tcMar>
            <w:vAlign w:val="center"/>
          </w:tcPr>
          <w:p>
            <w:pPr>
              <w:spacing w:before="0" w:after="100"/>
              <w:jc w:val="left"/>
            </w:pPr>
            <w:r>
              <w:rPr>
                <w:rFonts w:ascii="Arial" w:cs="Arial" w:eastAsia="Arial" w:hAnsi="Arial"/>
                <w:b/>
                <w:bCs/>
                <w:i w:val="false"/>
                <w:iCs w:val="false"/>
                <w:color w:val="6C3483"/>
                <w:sz w:val="19"/>
                <w:szCs w:val="19"/>
              </w:rPr>
              <w:t xml:space="preserve">Secret Management</w:t>
            </w:r>
          </w:p>
        </w:tc>
        <w:tc>
          <w:tcPr>
            <w:tcW w:type="dxa" w:w="784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111111"/>
                <w:sz w:val="19"/>
                <w:szCs w:val="19"/>
              </w:rPr>
              <w:t xml:space="preserve">No secrets in Jenkinsfile or GitHub Actions YAML. Inject at runtime via HashiCorp Vault plugin (Jenkins) or GitHub Actions Secrets. Rotate all CI/CD secrets every 30 days.</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spacing w:before="0" w:after="100"/>
              <w:jc w:val="left"/>
            </w:pPr>
            <w:r>
              <w:rPr>
                <w:rFonts w:ascii="Arial" w:cs="Arial" w:eastAsia="Arial" w:hAnsi="Arial"/>
                <w:b/>
                <w:bCs/>
                <w:i w:val="false"/>
                <w:iCs w:val="false"/>
                <w:color w:val="6C3483"/>
                <w:sz w:val="19"/>
                <w:szCs w:val="19"/>
              </w:rPr>
              <w:t xml:space="preserve">SAST Configuration</w:t>
            </w:r>
          </w:p>
        </w:tc>
        <w:tc>
          <w:tcPr>
            <w:tcW w:type="dxa" w:w="784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111111"/>
                <w:sz w:val="19"/>
                <w:szCs w:val="19"/>
              </w:rPr>
              <w:t xml:space="preserve">Run SonarQube with Quality Gate: 0 Critical bugs, 0 Critical vulnerabilities, Coverage ≥ 80%. Use Trivy for container image scanning with CRITICAL severity threshold blocking promotion.</w:t>
            </w:r>
          </w:p>
        </w:tc>
      </w:tr>
      <w:tr>
        <w:tc>
          <w:tcPr>
            <w:tcW w:type="dxa" w:w="2600"/>
            <w:tcBorders>
              <w:top w:val="single" w:color="CCCCCC" w:sz="2"/>
              <w:left w:val="single" w:color="CCCCCC" w:sz="2"/>
              <w:bottom w:val="single" w:color="CCCCCC" w:sz="2"/>
              <w:right w:val="single" w:color="CCCCCC" w:sz="2"/>
            </w:tcBorders>
            <w:shd w:fill="E8DAEF" w:val="clear"/>
            <w:tcMar>
              <w:top w:type="dxa" w:w="80"/>
              <w:left w:type="dxa" w:w="120"/>
              <w:bottom w:type="dxa" w:w="80"/>
              <w:right w:type="dxa" w:w="120"/>
            </w:tcMar>
            <w:vAlign w:val="center"/>
          </w:tcPr>
          <w:p>
            <w:pPr>
              <w:spacing w:before="0" w:after="100"/>
              <w:jc w:val="left"/>
            </w:pPr>
            <w:r>
              <w:rPr>
                <w:rFonts w:ascii="Arial" w:cs="Arial" w:eastAsia="Arial" w:hAnsi="Arial"/>
                <w:b/>
                <w:bCs/>
                <w:i w:val="false"/>
                <w:iCs w:val="false"/>
                <w:color w:val="6C3483"/>
                <w:sz w:val="19"/>
                <w:szCs w:val="19"/>
              </w:rPr>
              <w:t xml:space="preserve">Artifact Registry</w:t>
            </w:r>
          </w:p>
        </w:tc>
        <w:tc>
          <w:tcPr>
            <w:tcW w:type="dxa" w:w="784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111111"/>
                <w:sz w:val="19"/>
                <w:szCs w:val="19"/>
              </w:rPr>
              <w:t xml:space="preserve">Push signed images to IBM Container Registry with image digest pinning. Tag format: {service}:{git-commit-sha}. Retain last 10 versions. Auto-delete images older than 90 days.</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spacing w:before="0" w:after="100"/>
              <w:jc w:val="left"/>
            </w:pPr>
            <w:r>
              <w:rPr>
                <w:rFonts w:ascii="Arial" w:cs="Arial" w:eastAsia="Arial" w:hAnsi="Arial"/>
                <w:b/>
                <w:bCs/>
                <w:i w:val="false"/>
                <w:iCs w:val="false"/>
                <w:color w:val="6C3483"/>
                <w:sz w:val="19"/>
                <w:szCs w:val="19"/>
              </w:rPr>
              <w:t xml:space="preserve">Deployment Config</w:t>
            </w:r>
          </w:p>
        </w:tc>
        <w:tc>
          <w:tcPr>
            <w:tcW w:type="dxa" w:w="784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111111"/>
                <w:sz w:val="19"/>
                <w:szCs w:val="19"/>
              </w:rPr>
              <w:t xml:space="preserve">Use Helm charts for Kubernetes deployments. Values per environment: values-staging.yaml, values-prod.yaml. Deployment strategy: RollingUpdate with maxSurge=1, maxUnavailable=0 for zero-downtime.</w:t>
            </w:r>
          </w:p>
        </w:tc>
      </w:tr>
    </w:tbl>
    <w:p>
      <w:pPr>
        <w:spacing w:before="0" w:after="80"/>
      </w:pPr>
    </w:p>
    <w:p>
      <w:pPr>
        <w:spacing w:before="0" w:after="40"/>
        <w:jc w:val="left"/>
      </w:pPr>
      <w:r>
        <w:rPr>
          <w:rFonts w:ascii="Arial" w:cs="Arial" w:eastAsia="Arial" w:hAnsi="Arial"/>
          <w:b/>
          <w:bCs/>
          <w:i w:val="false"/>
          <w:iCs w:val="false"/>
          <w:color w:val="6C3483"/>
          <w:sz w:val="19"/>
          <w:szCs w:val="19"/>
        </w:rPr>
        <w:t xml:space="preserve">GitHub Actions pipeline snippet (.github/workflows/cicd.yml):</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single" w:color="2E7D32" w:sz="2"/>
              <w:left w:val="single" w:color="2E7D32" w:sz="2"/>
              <w:bottom w:val="single" w:color="2E7D32" w:sz="2"/>
              <w:right w:val="single" w:color="2E7D32" w:sz="2"/>
            </w:tcBorders>
            <w:shd w:fill="1E2D1E" w:val="clear"/>
            <w:tcMar>
              <w:top w:type="dxa" w:w="120"/>
              <w:left w:type="dxa" w:w="200"/>
              <w:bottom w:type="dxa" w:w="120"/>
              <w:right w:type="dxa" w:w="200"/>
            </w:tcMar>
            <w:vAlign w:val="top"/>
          </w:tcPr>
          <w:p>
            <w:pPr>
              <w:spacing w:before="0" w:after="60"/>
            </w:pPr>
            <w:r>
              <w:rPr>
                <w:rFonts w:ascii="Courier New" w:cs="Courier New" w:eastAsia="Courier New" w:hAnsi="Courier New"/>
                <w:color w:val="1A3A1A"/>
                <w:sz w:val="18"/>
                <w:szCs w:val="18"/>
              </w:rPr>
              <w:t xml:space="preserve">name: CI/CD Pipeline — ABC Bank</w:t>
            </w:r>
          </w:p>
          <w:p>
            <w:pPr>
              <w:spacing w:before="0" w:after="60"/>
            </w:pPr>
            <w:r>
              <w:rPr>
                <w:rFonts w:ascii="Courier New" w:cs="Courier New" w:eastAsia="Courier New" w:hAnsi="Courier New"/>
                <w:color w:val="1A3A1A"/>
                <w:sz w:val="18"/>
                <w:szCs w:val="18"/>
              </w:rPr>
              <w:t xml:space="preserve">on:</w:t>
            </w:r>
          </w:p>
          <w:p>
            <w:pPr>
              <w:spacing w:before="0" w:after="60"/>
            </w:pPr>
            <w:r>
              <w:rPr>
                <w:rFonts w:ascii="Courier New" w:cs="Courier New" w:eastAsia="Courier New" w:hAnsi="Courier New"/>
                <w:color w:val="1A3A1A"/>
                <w:sz w:val="18"/>
                <w:szCs w:val="18"/>
              </w:rPr>
              <w:t xml:space="preserve">  push:</w:t>
            </w:r>
          </w:p>
          <w:p>
            <w:pPr>
              <w:spacing w:before="0" w:after="60"/>
            </w:pPr>
            <w:r>
              <w:rPr>
                <w:rFonts w:ascii="Courier New" w:cs="Courier New" w:eastAsia="Courier New" w:hAnsi="Courier New"/>
                <w:color w:val="1A3A1A"/>
                <w:sz w:val="18"/>
                <w:szCs w:val="18"/>
              </w:rPr>
              <w:t xml:space="preserve">    branches: [main, release/*]</w:t>
            </w:r>
          </w:p>
          <w:p>
            <w:pPr>
              <w:spacing w:before="0" w:after="60"/>
            </w:pPr>
            <w:r>
              <w:rPr>
                <w:rFonts w:ascii="Courier New" w:cs="Courier New" w:eastAsia="Courier New" w:hAnsi="Courier New"/>
                <w:color w:val="1A3A1A"/>
                <w:sz w:val="18"/>
                <w:szCs w:val="18"/>
              </w:rPr>
              <w:t xml:space="preserve">jobs:</w:t>
            </w:r>
          </w:p>
          <w:p>
            <w:pPr>
              <w:spacing w:before="0" w:after="60"/>
            </w:pPr>
            <w:r>
              <w:rPr>
                <w:rFonts w:ascii="Courier New" w:cs="Courier New" w:eastAsia="Courier New" w:hAnsi="Courier New"/>
                <w:color w:val="1A3A1A"/>
                <w:sz w:val="18"/>
                <w:szCs w:val="18"/>
              </w:rPr>
              <w:t xml:space="preserve">  build:</w:t>
            </w:r>
          </w:p>
          <w:p>
            <w:pPr>
              <w:spacing w:before="0" w:after="60"/>
            </w:pPr>
            <w:r>
              <w:rPr>
                <w:rFonts w:ascii="Courier New" w:cs="Courier New" w:eastAsia="Courier New" w:hAnsi="Courier New"/>
                <w:color w:val="1A3A1A"/>
                <w:sz w:val="18"/>
                <w:szCs w:val="18"/>
              </w:rPr>
              <w:t xml:space="preserve">    runs-on: ubuntu-latest</w:t>
            </w:r>
          </w:p>
          <w:p>
            <w:pPr>
              <w:spacing w:before="0" w:after="60"/>
            </w:pPr>
            <w:r>
              <w:rPr>
                <w:rFonts w:ascii="Courier New" w:cs="Courier New" w:eastAsia="Courier New" w:hAnsi="Courier New"/>
                <w:color w:val="1A3A1A"/>
                <w:sz w:val="18"/>
                <w:szCs w:val="18"/>
              </w:rPr>
              <w:t xml:space="preserve">    steps:</w:t>
            </w:r>
          </w:p>
          <w:p>
            <w:pPr>
              <w:spacing w:before="0" w:after="60"/>
            </w:pPr>
            <w:r>
              <w:rPr>
                <w:rFonts w:ascii="Courier New" w:cs="Courier New" w:eastAsia="Courier New" w:hAnsi="Courier New"/>
                <w:color w:val="1A3A1A"/>
                <w:sz w:val="18"/>
                <w:szCs w:val="18"/>
              </w:rPr>
              <w:t xml:space="preserve">      - uses: actions/checkout@v4</w:t>
            </w:r>
          </w:p>
          <w:p>
            <w:pPr>
              <w:spacing w:before="0" w:after="60"/>
            </w:pPr>
            <w:r>
              <w:rPr>
                <w:rFonts w:ascii="Courier New" w:cs="Courier New" w:eastAsia="Courier New" w:hAnsi="Courier New"/>
                <w:color w:val="1A3A1A"/>
                <w:sz w:val="18"/>
                <w:szCs w:val="18"/>
              </w:rPr>
              <w:t xml:space="preserve">      - name: Secret Scan</w:t>
            </w:r>
          </w:p>
          <w:p>
            <w:pPr>
              <w:spacing w:before="0" w:after="60"/>
            </w:pPr>
            <w:r>
              <w:rPr>
                <w:rFonts w:ascii="Courier New" w:cs="Courier New" w:eastAsia="Courier New" w:hAnsi="Courier New"/>
                <w:color w:val="1A3A1A"/>
                <w:sz w:val="18"/>
                <w:szCs w:val="18"/>
              </w:rPr>
              <w:t xml:space="preserve">        run: gitleaks detect --source=. --exit-code=1</w:t>
            </w:r>
          </w:p>
          <w:p>
            <w:pPr>
              <w:spacing w:before="0" w:after="60"/>
            </w:pPr>
            <w:r>
              <w:rPr>
                <w:rFonts w:ascii="Courier New" w:cs="Courier New" w:eastAsia="Courier New" w:hAnsi="Courier New"/>
                <w:color w:val="1A3A1A"/>
                <w:sz w:val="18"/>
                <w:szCs w:val="18"/>
              </w:rPr>
              <w:t xml:space="preserve">      - name: Build &amp; Test</w:t>
            </w:r>
          </w:p>
          <w:p>
            <w:pPr>
              <w:spacing w:before="0" w:after="60"/>
            </w:pPr>
            <w:r>
              <w:rPr>
                <w:rFonts w:ascii="Courier New" w:cs="Courier New" w:eastAsia="Courier New" w:hAnsi="Courier New"/>
                <w:color w:val="1A3A1A"/>
                <w:sz w:val="18"/>
                <w:szCs w:val="18"/>
              </w:rPr>
              <w:t xml:space="preserve">        run: npm ci &amp;&amp; npm test -- --coverage</w:t>
            </w:r>
          </w:p>
          <w:p>
            <w:pPr>
              <w:spacing w:before="0" w:after="60"/>
            </w:pPr>
            <w:r>
              <w:rPr>
                <w:rFonts w:ascii="Courier New" w:cs="Courier New" w:eastAsia="Courier New" w:hAnsi="Courier New"/>
                <w:color w:val="1A3A1A"/>
                <w:sz w:val="18"/>
                <w:szCs w:val="18"/>
              </w:rPr>
              <w:t xml:space="preserve">      - name: SAST Scan</w:t>
            </w:r>
          </w:p>
          <w:p>
            <w:pPr>
              <w:spacing w:before="0" w:after="60"/>
            </w:pPr>
            <w:r>
              <w:rPr>
                <w:rFonts w:ascii="Courier New" w:cs="Courier New" w:eastAsia="Courier New" w:hAnsi="Courier New"/>
                <w:color w:val="1A3A1A"/>
                <w:sz w:val="18"/>
                <w:szCs w:val="18"/>
              </w:rPr>
              <w:t xml:space="preserve">        uses: SonarSource/sonarcloud-github-action@v2</w:t>
            </w:r>
          </w:p>
          <w:p>
            <w:pPr>
              <w:spacing w:before="0" w:after="60"/>
            </w:pPr>
            <w:r>
              <w:rPr>
                <w:rFonts w:ascii="Courier New" w:cs="Courier New" w:eastAsia="Courier New" w:hAnsi="Courier New"/>
                <w:color w:val="1A3A1A"/>
                <w:sz w:val="18"/>
                <w:szCs w:val="18"/>
              </w:rPr>
              <w:t xml:space="preserve">      - name: Container Image Build</w:t>
            </w:r>
          </w:p>
          <w:p>
            <w:pPr>
              <w:spacing w:before="0" w:after="60"/>
            </w:pPr>
            <w:r>
              <w:rPr>
                <w:rFonts w:ascii="Courier New" w:cs="Courier New" w:eastAsia="Courier New" w:hAnsi="Courier New"/>
                <w:color w:val="1A3A1A"/>
                <w:sz w:val="18"/>
                <w:szCs w:val="18"/>
              </w:rPr>
              <w:t xml:space="preserve">        run: docker build -t $IMAGE_TAG .</w:t>
            </w:r>
          </w:p>
          <w:p>
            <w:pPr>
              <w:spacing w:before="0" w:after="60"/>
            </w:pPr>
            <w:r>
              <w:rPr>
                <w:rFonts w:ascii="Courier New" w:cs="Courier New" w:eastAsia="Courier New" w:hAnsi="Courier New"/>
                <w:color w:val="1A3A1A"/>
                <w:sz w:val="18"/>
                <w:szCs w:val="18"/>
              </w:rPr>
              <w:t xml:space="preserve">      - name: Trivy Image Scan</w:t>
            </w:r>
          </w:p>
          <w:p>
            <w:pPr>
              <w:spacing w:before="0" w:after="60"/>
            </w:pPr>
            <w:r>
              <w:rPr>
                <w:rFonts w:ascii="Courier New" w:cs="Courier New" w:eastAsia="Courier New" w:hAnsi="Courier New"/>
                <w:color w:val="1A3A1A"/>
                <w:sz w:val="18"/>
                <w:szCs w:val="18"/>
              </w:rPr>
              <w:t xml:space="preserve">        run: trivy image --exit-code 1 --severity CRITICAL $IMAGE_TAG</w:t>
            </w:r>
          </w:p>
          <w:p>
            <w:pPr>
              <w:spacing w:before="0" w:after="60"/>
            </w:pPr>
            <w:r>
              <w:rPr>
                <w:rFonts w:ascii="Courier New" w:cs="Courier New" w:eastAsia="Courier New" w:hAnsi="Courier New"/>
                <w:color w:val="1A3A1A"/>
                <w:sz w:val="18"/>
                <w:szCs w:val="18"/>
              </w:rPr>
              <w:t xml:space="preserve">      - name: Push to Registry</w:t>
            </w:r>
          </w:p>
          <w:p>
            <w:pPr>
              <w:spacing w:before="0" w:after="60"/>
            </w:pPr>
            <w:r>
              <w:rPr>
                <w:rFonts w:ascii="Courier New" w:cs="Courier New" w:eastAsia="Courier New" w:hAnsi="Courier New"/>
                <w:color w:val="1A3A1A"/>
                <w:sz w:val="18"/>
                <w:szCs w:val="18"/>
              </w:rPr>
              <w:t xml:space="preserve">        run: docker push $IMAGE_TAG</w:t>
            </w:r>
          </w:p>
        </w:tc>
      </w:tr>
    </w:tbl>
    <w:p>
      <w:pPr>
        <w:spacing w:before="0" w:after="200"/>
      </w:pP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single" w:color="C0392B" w:sz="2"/>
              <w:left w:val="single" w:color="C0392B" w:sz="2"/>
              <w:bottom w:val="single" w:color="C0392B" w:sz="2"/>
              <w:right w:val="single" w:color="C0392B" w:sz="2"/>
            </w:tcBorders>
            <w:shd w:fill="C0392B" w:val="clear"/>
            <w:tcMar>
              <w:top w:type="dxa" w:w="140"/>
              <w:left w:type="dxa" w:w="240"/>
              <w:bottom w:type="dxa" w:w="140"/>
              <w:right w:type="dxa" w:w="240"/>
            </w:tcMar>
            <w:vAlign w:val="top"/>
          </w:tcPr>
          <w:p>
            <w:pPr>
              <w:spacing w:before="0" w:after="100"/>
              <w:jc w:val="left"/>
            </w:pPr>
            <w:r>
              <w:rPr>
                <w:rFonts w:ascii="Arial" w:cs="Arial" w:eastAsia="Arial" w:hAnsi="Arial"/>
                <w:b/>
                <w:bCs/>
                <w:i w:val="false"/>
                <w:iCs w:val="false"/>
                <w:color w:val="FFFFFF"/>
                <w:sz w:val="26"/>
                <w:szCs w:val="26"/>
              </w:rPr>
              <w:t xml:space="preserve">Backup and Disaster Recovery Plan</w:t>
            </w:r>
          </w:p>
        </w:tc>
      </w:tr>
    </w:tbl>
    <w:p>
      <w:pPr>
        <w:spacing w:before="0" w:after="80"/>
      </w:pPr>
    </w:p>
    <w:p>
      <w:pPr>
        <w:spacing w:before="0" w:after="140"/>
        <w:jc w:val="left"/>
      </w:pPr>
      <w:r>
        <w:rPr>
          <w:rFonts w:ascii="Arial" w:cs="Arial" w:eastAsia="Arial" w:hAnsi="Arial"/>
          <w:b w:val="false"/>
          <w:bCs w:val="false"/>
          <w:i w:val="false"/>
          <w:iCs w:val="false"/>
          <w:color w:val="333333"/>
          <w:sz w:val="19"/>
          <w:szCs w:val="19"/>
        </w:rPr>
        <w:t xml:space="preserve">This section defines the backup strategy, recovery objectives, and disaster recovery procedures for ABC Bank's cloud-native digital core platform. All procedures are designed to meet RTO &lt; 4 hours and RPO &lt; 1 hour for Tier-1 banking systems, in compliance with RBI Business Continuity Guidelines and PCI-DSS Requirement 12.3.</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single" w:color="C0392B" w:sz="2"/>
              <w:left w:val="single" w:color="C0392B" w:sz="2"/>
              <w:bottom w:val="single" w:color="C0392B" w:sz="2"/>
              <w:right w:val="single" w:color="C0392B" w:sz="2"/>
            </w:tcBorders>
            <w:shd w:fill="C0392B" w:val="clear"/>
            <w:tcMar>
              <w:top w:type="dxa" w:w="100"/>
              <w:left w:type="dxa" w:w="200"/>
              <w:bottom w:type="dxa" w:w="100"/>
              <w:right w:type="dxa" w:w="200"/>
            </w:tcMar>
            <w:vAlign w:val="top"/>
          </w:tcPr>
          <w:p>
            <w:pPr>
              <w:spacing w:before="0" w:after="100"/>
              <w:jc w:val="left"/>
            </w:pPr>
            <w:r>
              <w:rPr>
                <w:rFonts w:ascii="Arial" w:cs="Arial" w:eastAsia="Arial" w:hAnsi="Arial"/>
                <w:b/>
                <w:bCs/>
                <w:i w:val="false"/>
                <w:iCs w:val="false"/>
                <w:color w:val="FFFFFF"/>
                <w:sz w:val="22"/>
                <w:szCs w:val="22"/>
              </w:rPr>
              <w:t xml:space="preserve">B1: Recovery Objectives</w:t>
            </w:r>
          </w:p>
        </w:tc>
      </w:tr>
    </w:tbl>
    <w:p>
      <w:pPr>
        <w:spacing w:before="0" w:after="60"/>
      </w:pP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600"/>
        <w:gridCol w:w="3040"/>
      </w:tblGrid>
      <w:tr>
        <w:tc>
          <w:tcPr>
            <w:tcW w:type="dxa" w:w="2200"/>
            <w:tcBorders>
              <w:top w:val="single" w:color="1F3864" w:sz="2"/>
              <w:left w:val="single" w:color="1F3864" w:sz="2"/>
              <w:bottom w:val="single" w:color="1F3864" w:sz="2"/>
              <w:right w:val="single" w:color="1F3864" w:sz="2"/>
            </w:tcBorders>
            <w:shd w:fill="1F3864" w:val="clear"/>
            <w:tcMar>
              <w:top w:type="dxa" w:w="100"/>
              <w:left w:type="dxa" w:w="120"/>
              <w:bottom w:type="dxa" w:w="100"/>
              <w:right w:type="dxa" w:w="120"/>
            </w:tcMar>
            <w:vAlign w:val="top"/>
          </w:tcPr>
          <w:p>
            <w:pPr>
              <w:spacing w:before="0" w:after="100"/>
              <w:jc w:val="left"/>
            </w:pPr>
            <w:r>
              <w:rPr>
                <w:rFonts w:ascii="Arial" w:cs="Arial" w:eastAsia="Arial" w:hAnsi="Arial"/>
                <w:b/>
                <w:bCs/>
                <w:i w:val="false"/>
                <w:iCs w:val="false"/>
                <w:color w:val="FFFFFF"/>
                <w:sz w:val="20"/>
                <w:szCs w:val="20"/>
              </w:rPr>
              <w:t xml:space="preserve">Service / Component</w:t>
            </w:r>
          </w:p>
        </w:tc>
        <w:tc>
          <w:tcPr>
            <w:tcW w:type="dxa" w:w="2600"/>
            <w:tcBorders>
              <w:top w:val="single" w:color="1F3864" w:sz="2"/>
              <w:left w:val="single" w:color="1F3864" w:sz="2"/>
              <w:bottom w:val="single" w:color="1F3864" w:sz="2"/>
              <w:right w:val="single" w:color="1F3864" w:sz="2"/>
            </w:tcBorders>
            <w:shd w:fill="1F3864" w:val="clear"/>
            <w:tcMar>
              <w:top w:type="dxa" w:w="100"/>
              <w:left w:type="dxa" w:w="120"/>
              <w:bottom w:type="dxa" w:w="100"/>
              <w:right w:type="dxa" w:w="120"/>
            </w:tcMar>
            <w:vAlign w:val="top"/>
          </w:tcPr>
          <w:p>
            <w:pPr>
              <w:spacing w:before="0" w:after="100"/>
              <w:jc w:val="center"/>
            </w:pPr>
            <w:r>
              <w:rPr>
                <w:rFonts w:ascii="Arial" w:cs="Arial" w:eastAsia="Arial" w:hAnsi="Arial"/>
                <w:b/>
                <w:bCs/>
                <w:i w:val="false"/>
                <w:iCs w:val="false"/>
                <w:color w:val="FFFFFF"/>
                <w:sz w:val="20"/>
                <w:szCs w:val="20"/>
              </w:rPr>
              <w:t xml:space="preserve">Tier</w:t>
            </w:r>
          </w:p>
        </w:tc>
        <w:tc>
          <w:tcPr>
            <w:tcW w:type="dxa" w:w="2600"/>
            <w:tcBorders>
              <w:top w:val="single" w:color="1F3864" w:sz="2"/>
              <w:left w:val="single" w:color="1F3864" w:sz="2"/>
              <w:bottom w:val="single" w:color="1F3864" w:sz="2"/>
              <w:right w:val="single" w:color="1F3864" w:sz="2"/>
            </w:tcBorders>
            <w:shd w:fill="1F3864" w:val="clear"/>
            <w:tcMar>
              <w:top w:type="dxa" w:w="100"/>
              <w:left w:type="dxa" w:w="120"/>
              <w:bottom w:type="dxa" w:w="100"/>
              <w:right w:type="dxa" w:w="120"/>
            </w:tcMar>
            <w:vAlign w:val="top"/>
          </w:tcPr>
          <w:p>
            <w:pPr>
              <w:spacing w:before="0" w:after="100"/>
              <w:jc w:val="center"/>
            </w:pPr>
            <w:r>
              <w:rPr>
                <w:rFonts w:ascii="Arial" w:cs="Arial" w:eastAsia="Arial" w:hAnsi="Arial"/>
                <w:b/>
                <w:bCs/>
                <w:i w:val="false"/>
                <w:iCs w:val="false"/>
                <w:color w:val="FFFFFF"/>
                <w:sz w:val="20"/>
                <w:szCs w:val="20"/>
              </w:rPr>
              <w:t xml:space="preserve">RTO Target</w:t>
            </w:r>
          </w:p>
        </w:tc>
        <w:tc>
          <w:tcPr>
            <w:tcW w:type="dxa" w:w="3040"/>
            <w:tcBorders>
              <w:top w:val="single" w:color="1F3864" w:sz="2"/>
              <w:left w:val="single" w:color="1F3864" w:sz="2"/>
              <w:bottom w:val="single" w:color="1F3864" w:sz="2"/>
              <w:right w:val="single" w:color="1F3864" w:sz="2"/>
            </w:tcBorders>
            <w:shd w:fill="1F3864" w:val="clear"/>
            <w:tcMar>
              <w:top w:type="dxa" w:w="100"/>
              <w:left w:type="dxa" w:w="120"/>
              <w:bottom w:type="dxa" w:w="100"/>
              <w:right w:type="dxa" w:w="120"/>
            </w:tcMar>
            <w:vAlign w:val="top"/>
          </w:tcPr>
          <w:p>
            <w:pPr>
              <w:spacing w:before="0" w:after="100"/>
              <w:jc w:val="center"/>
            </w:pPr>
            <w:r>
              <w:rPr>
                <w:rFonts w:ascii="Arial" w:cs="Arial" w:eastAsia="Arial" w:hAnsi="Arial"/>
                <w:b/>
                <w:bCs/>
                <w:i w:val="false"/>
                <w:iCs w:val="false"/>
                <w:color w:val="FFFFFF"/>
                <w:sz w:val="20"/>
                <w:szCs w:val="20"/>
              </w:rPr>
              <w:t xml:space="preserve">RPO Target</w:t>
            </w:r>
          </w:p>
        </w:tc>
      </w:tr>
      <w:tr>
        <w:tc>
          <w:tcPr>
            <w:tcW w:type="dxa" w:w="2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1F3864"/>
                <w:sz w:val="19"/>
                <w:szCs w:val="19"/>
              </w:rPr>
              <w:t xml:space="preserve">Customer Onboarding Service</w:t>
            </w:r>
          </w:p>
        </w:tc>
        <w:tc>
          <w:tcPr>
            <w:tcW w:type="dxa" w:w="2600"/>
            <w:tcBorders>
              <w:top w:val="single" w:color="FADBD8" w:sz="2"/>
              <w:left w:val="single" w:color="FADBD8" w:sz="2"/>
              <w:bottom w:val="single" w:color="FADBD8" w:sz="2"/>
              <w:right w:val="single" w:color="FADBD8" w:sz="2"/>
            </w:tcBorders>
            <w:shd w:fill="FADBD8" w:val="clear"/>
            <w:tcMar>
              <w:top w:type="dxa" w:w="80"/>
              <w:left w:type="dxa" w:w="120"/>
              <w:bottom w:type="dxa" w:w="80"/>
              <w:right w:type="dxa" w:w="120"/>
            </w:tcMar>
            <w:vAlign w:val="center"/>
          </w:tcPr>
          <w:p>
            <w:pPr>
              <w:spacing w:before="0" w:after="100"/>
              <w:jc w:val="center"/>
            </w:pPr>
            <w:r>
              <w:rPr>
                <w:rFonts w:ascii="Arial" w:cs="Arial" w:eastAsia="Arial" w:hAnsi="Arial"/>
                <w:b/>
                <w:bCs/>
                <w:i w:val="false"/>
                <w:iCs w:val="false"/>
                <w:color w:val="C0392B"/>
                <w:sz w:val="18"/>
                <w:szCs w:val="18"/>
              </w:rPr>
              <w:t xml:space="preserve">Tier 1 — Critical</w:t>
            </w:r>
          </w:p>
        </w:tc>
        <w:tc>
          <w:tcPr>
            <w:tcW w:type="dxa" w:w="2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spacing w:before="0" w:after="100"/>
              <w:jc w:val="center"/>
            </w:pPr>
            <w:r>
              <w:rPr>
                <w:rFonts w:ascii="Arial" w:cs="Arial" w:eastAsia="Arial" w:hAnsi="Arial"/>
                <w:b/>
                <w:bCs/>
                <w:i w:val="false"/>
                <w:iCs w:val="false"/>
                <w:color w:val="117A65"/>
                <w:sz w:val="19"/>
                <w:szCs w:val="19"/>
              </w:rPr>
              <w:t xml:space="preserve">&lt; 1 hour</w:t>
            </w:r>
          </w:p>
        </w:tc>
        <w:tc>
          <w:tcPr>
            <w:tcW w:type="dxa" w:w="304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spacing w:before="0" w:after="100"/>
              <w:jc w:val="center"/>
            </w:pPr>
            <w:r>
              <w:rPr>
                <w:rFonts w:ascii="Arial" w:cs="Arial" w:eastAsia="Arial" w:hAnsi="Arial"/>
                <w:b/>
                <w:bCs/>
                <w:i w:val="false"/>
                <w:iCs w:val="false"/>
                <w:color w:val="1E8449"/>
                <w:sz w:val="19"/>
                <w:szCs w:val="19"/>
              </w:rPr>
              <w:t xml:space="preserve">&lt; 15 minutes</w:t>
            </w:r>
          </w:p>
        </w:tc>
      </w:tr>
      <w:tr>
        <w:tc>
          <w:tcPr>
            <w:tcW w:type="dxa" w:w="22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1F3864"/>
                <w:sz w:val="19"/>
                <w:szCs w:val="19"/>
              </w:rPr>
              <w:t xml:space="preserve">Loan Eligibility &amp; Servicing</w:t>
            </w:r>
          </w:p>
        </w:tc>
        <w:tc>
          <w:tcPr>
            <w:tcW w:type="dxa" w:w="2600"/>
            <w:tcBorders>
              <w:top w:val="single" w:color="FADBD8" w:sz="2"/>
              <w:left w:val="single" w:color="FADBD8" w:sz="2"/>
              <w:bottom w:val="single" w:color="FADBD8" w:sz="2"/>
              <w:right w:val="single" w:color="FADBD8" w:sz="2"/>
            </w:tcBorders>
            <w:shd w:fill="FADBD8" w:val="clear"/>
            <w:tcMar>
              <w:top w:type="dxa" w:w="80"/>
              <w:left w:type="dxa" w:w="120"/>
              <w:bottom w:type="dxa" w:w="80"/>
              <w:right w:type="dxa" w:w="120"/>
            </w:tcMar>
            <w:vAlign w:val="center"/>
          </w:tcPr>
          <w:p>
            <w:pPr>
              <w:spacing w:before="0" w:after="100"/>
              <w:jc w:val="center"/>
            </w:pPr>
            <w:r>
              <w:rPr>
                <w:rFonts w:ascii="Arial" w:cs="Arial" w:eastAsia="Arial" w:hAnsi="Arial"/>
                <w:b/>
                <w:bCs/>
                <w:i w:val="false"/>
                <w:iCs w:val="false"/>
                <w:color w:val="C0392B"/>
                <w:sz w:val="18"/>
                <w:szCs w:val="18"/>
              </w:rPr>
              <w:t xml:space="preserve">Tier 1 — Critical</w:t>
            </w:r>
          </w:p>
        </w:tc>
        <w:tc>
          <w:tcPr>
            <w:tcW w:type="dxa" w:w="26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vAlign w:val="center"/>
          </w:tcPr>
          <w:p>
            <w:pPr>
              <w:spacing w:before="0" w:after="100"/>
              <w:jc w:val="center"/>
            </w:pPr>
            <w:r>
              <w:rPr>
                <w:rFonts w:ascii="Arial" w:cs="Arial" w:eastAsia="Arial" w:hAnsi="Arial"/>
                <w:b/>
                <w:bCs/>
                <w:i w:val="false"/>
                <w:iCs w:val="false"/>
                <w:color w:val="117A65"/>
                <w:sz w:val="19"/>
                <w:szCs w:val="19"/>
              </w:rPr>
              <w:t xml:space="preserve">&lt; 1 hour</w:t>
            </w:r>
          </w:p>
        </w:tc>
        <w:tc>
          <w:tcPr>
            <w:tcW w:type="dxa" w:w="304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vAlign w:val="center"/>
          </w:tcPr>
          <w:p>
            <w:pPr>
              <w:spacing w:before="0" w:after="100"/>
              <w:jc w:val="center"/>
            </w:pPr>
            <w:r>
              <w:rPr>
                <w:rFonts w:ascii="Arial" w:cs="Arial" w:eastAsia="Arial" w:hAnsi="Arial"/>
                <w:b/>
                <w:bCs/>
                <w:i w:val="false"/>
                <w:iCs w:val="false"/>
                <w:color w:val="1E8449"/>
                <w:sz w:val="19"/>
                <w:szCs w:val="19"/>
              </w:rPr>
              <w:t xml:space="preserve">&lt; 15 minutes</w:t>
            </w:r>
          </w:p>
        </w:tc>
      </w:tr>
      <w:tr>
        <w:tc>
          <w:tcPr>
            <w:tcW w:type="dxa" w:w="2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1F3864"/>
                <w:sz w:val="19"/>
                <w:szCs w:val="19"/>
              </w:rPr>
              <w:t xml:space="preserve">Transaction Processing</w:t>
            </w:r>
          </w:p>
        </w:tc>
        <w:tc>
          <w:tcPr>
            <w:tcW w:type="dxa" w:w="2600"/>
            <w:tcBorders>
              <w:top w:val="single" w:color="FADBD8" w:sz="2"/>
              <w:left w:val="single" w:color="FADBD8" w:sz="2"/>
              <w:bottom w:val="single" w:color="FADBD8" w:sz="2"/>
              <w:right w:val="single" w:color="FADBD8" w:sz="2"/>
            </w:tcBorders>
            <w:shd w:fill="FADBD8" w:val="clear"/>
            <w:tcMar>
              <w:top w:type="dxa" w:w="80"/>
              <w:left w:type="dxa" w:w="120"/>
              <w:bottom w:type="dxa" w:w="80"/>
              <w:right w:type="dxa" w:w="120"/>
            </w:tcMar>
            <w:vAlign w:val="center"/>
          </w:tcPr>
          <w:p>
            <w:pPr>
              <w:spacing w:before="0" w:after="100"/>
              <w:jc w:val="center"/>
            </w:pPr>
            <w:r>
              <w:rPr>
                <w:rFonts w:ascii="Arial" w:cs="Arial" w:eastAsia="Arial" w:hAnsi="Arial"/>
                <w:b/>
                <w:bCs/>
                <w:i w:val="false"/>
                <w:iCs w:val="false"/>
                <w:color w:val="C0392B"/>
                <w:sz w:val="18"/>
                <w:szCs w:val="18"/>
              </w:rPr>
              <w:t xml:space="preserve">Tier 1 — Critical</w:t>
            </w:r>
          </w:p>
        </w:tc>
        <w:tc>
          <w:tcPr>
            <w:tcW w:type="dxa" w:w="2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spacing w:before="0" w:after="100"/>
              <w:jc w:val="center"/>
            </w:pPr>
            <w:r>
              <w:rPr>
                <w:rFonts w:ascii="Arial" w:cs="Arial" w:eastAsia="Arial" w:hAnsi="Arial"/>
                <w:b/>
                <w:bCs/>
                <w:i w:val="false"/>
                <w:iCs w:val="false"/>
                <w:color w:val="117A65"/>
                <w:sz w:val="19"/>
                <w:szCs w:val="19"/>
              </w:rPr>
              <w:t xml:space="preserve">&lt; 30 minutes</w:t>
            </w:r>
          </w:p>
        </w:tc>
        <w:tc>
          <w:tcPr>
            <w:tcW w:type="dxa" w:w="304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spacing w:before="0" w:after="100"/>
              <w:jc w:val="center"/>
            </w:pPr>
            <w:r>
              <w:rPr>
                <w:rFonts w:ascii="Arial" w:cs="Arial" w:eastAsia="Arial" w:hAnsi="Arial"/>
                <w:b/>
                <w:bCs/>
                <w:i w:val="false"/>
                <w:iCs w:val="false"/>
                <w:color w:val="1E8449"/>
                <w:sz w:val="19"/>
                <w:szCs w:val="19"/>
              </w:rPr>
              <w:t xml:space="preserve">&lt; 5 minutes</w:t>
            </w:r>
          </w:p>
        </w:tc>
      </w:tr>
      <w:tr>
        <w:tc>
          <w:tcPr>
            <w:tcW w:type="dxa" w:w="22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1F3864"/>
                <w:sz w:val="19"/>
                <w:szCs w:val="19"/>
              </w:rPr>
              <w:t xml:space="preserve">Fraud Detection Engine</w:t>
            </w:r>
          </w:p>
        </w:tc>
        <w:tc>
          <w:tcPr>
            <w:tcW w:type="dxa" w:w="2600"/>
            <w:tcBorders>
              <w:top w:val="single" w:color="FADBD8" w:sz="2"/>
              <w:left w:val="single" w:color="FADBD8" w:sz="2"/>
              <w:bottom w:val="single" w:color="FADBD8" w:sz="2"/>
              <w:right w:val="single" w:color="FADBD8" w:sz="2"/>
            </w:tcBorders>
            <w:shd w:fill="FADBD8" w:val="clear"/>
            <w:tcMar>
              <w:top w:type="dxa" w:w="80"/>
              <w:left w:type="dxa" w:w="120"/>
              <w:bottom w:type="dxa" w:w="80"/>
              <w:right w:type="dxa" w:w="120"/>
            </w:tcMar>
            <w:vAlign w:val="center"/>
          </w:tcPr>
          <w:p>
            <w:pPr>
              <w:spacing w:before="0" w:after="100"/>
              <w:jc w:val="center"/>
            </w:pPr>
            <w:r>
              <w:rPr>
                <w:rFonts w:ascii="Arial" w:cs="Arial" w:eastAsia="Arial" w:hAnsi="Arial"/>
                <w:b/>
                <w:bCs/>
                <w:i w:val="false"/>
                <w:iCs w:val="false"/>
                <w:color w:val="C0392B"/>
                <w:sz w:val="18"/>
                <w:szCs w:val="18"/>
              </w:rPr>
              <w:t xml:space="preserve">Tier 1 — Critical</w:t>
            </w:r>
          </w:p>
        </w:tc>
        <w:tc>
          <w:tcPr>
            <w:tcW w:type="dxa" w:w="26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vAlign w:val="center"/>
          </w:tcPr>
          <w:p>
            <w:pPr>
              <w:spacing w:before="0" w:after="100"/>
              <w:jc w:val="center"/>
            </w:pPr>
            <w:r>
              <w:rPr>
                <w:rFonts w:ascii="Arial" w:cs="Arial" w:eastAsia="Arial" w:hAnsi="Arial"/>
                <w:b/>
                <w:bCs/>
                <w:i w:val="false"/>
                <w:iCs w:val="false"/>
                <w:color w:val="117A65"/>
                <w:sz w:val="19"/>
                <w:szCs w:val="19"/>
              </w:rPr>
              <w:t xml:space="preserve">&lt; 30 minutes</w:t>
            </w:r>
          </w:p>
        </w:tc>
        <w:tc>
          <w:tcPr>
            <w:tcW w:type="dxa" w:w="304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vAlign w:val="center"/>
          </w:tcPr>
          <w:p>
            <w:pPr>
              <w:spacing w:before="0" w:after="100"/>
              <w:jc w:val="center"/>
            </w:pPr>
            <w:r>
              <w:rPr>
                <w:rFonts w:ascii="Arial" w:cs="Arial" w:eastAsia="Arial" w:hAnsi="Arial"/>
                <w:b/>
                <w:bCs/>
                <w:i w:val="false"/>
                <w:iCs w:val="false"/>
                <w:color w:val="1E8449"/>
                <w:sz w:val="19"/>
                <w:szCs w:val="19"/>
              </w:rPr>
              <w:t xml:space="preserve">&lt; 5 minutes</w:t>
            </w:r>
          </w:p>
        </w:tc>
      </w:tr>
      <w:tr>
        <w:tc>
          <w:tcPr>
            <w:tcW w:type="dxa" w:w="2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1F3864"/>
                <w:sz w:val="19"/>
                <w:szCs w:val="19"/>
              </w:rPr>
              <w:t xml:space="preserve">Authentication Service</w:t>
            </w:r>
          </w:p>
        </w:tc>
        <w:tc>
          <w:tcPr>
            <w:tcW w:type="dxa" w:w="2600"/>
            <w:tcBorders>
              <w:top w:val="single" w:color="FADBD8" w:sz="2"/>
              <w:left w:val="single" w:color="FADBD8" w:sz="2"/>
              <w:bottom w:val="single" w:color="FADBD8" w:sz="2"/>
              <w:right w:val="single" w:color="FADBD8" w:sz="2"/>
            </w:tcBorders>
            <w:shd w:fill="FADBD8" w:val="clear"/>
            <w:tcMar>
              <w:top w:type="dxa" w:w="80"/>
              <w:left w:type="dxa" w:w="120"/>
              <w:bottom w:type="dxa" w:w="80"/>
              <w:right w:type="dxa" w:w="120"/>
            </w:tcMar>
            <w:vAlign w:val="center"/>
          </w:tcPr>
          <w:p>
            <w:pPr>
              <w:spacing w:before="0" w:after="100"/>
              <w:jc w:val="center"/>
            </w:pPr>
            <w:r>
              <w:rPr>
                <w:rFonts w:ascii="Arial" w:cs="Arial" w:eastAsia="Arial" w:hAnsi="Arial"/>
                <w:b/>
                <w:bCs/>
                <w:i w:val="false"/>
                <w:iCs w:val="false"/>
                <w:color w:val="C0392B"/>
                <w:sz w:val="18"/>
                <w:szCs w:val="18"/>
              </w:rPr>
              <w:t xml:space="preserve">Tier 1 — Critical</w:t>
            </w:r>
          </w:p>
        </w:tc>
        <w:tc>
          <w:tcPr>
            <w:tcW w:type="dxa" w:w="2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spacing w:before="0" w:after="100"/>
              <w:jc w:val="center"/>
            </w:pPr>
            <w:r>
              <w:rPr>
                <w:rFonts w:ascii="Arial" w:cs="Arial" w:eastAsia="Arial" w:hAnsi="Arial"/>
                <w:b/>
                <w:bCs/>
                <w:i w:val="false"/>
                <w:iCs w:val="false"/>
                <w:color w:val="117A65"/>
                <w:sz w:val="19"/>
                <w:szCs w:val="19"/>
              </w:rPr>
              <w:t xml:space="preserve">&lt; 15 minutes</w:t>
            </w:r>
          </w:p>
        </w:tc>
        <w:tc>
          <w:tcPr>
            <w:tcW w:type="dxa" w:w="304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spacing w:before="0" w:after="100"/>
              <w:jc w:val="center"/>
            </w:pPr>
            <w:r>
              <w:rPr>
                <w:rFonts w:ascii="Arial" w:cs="Arial" w:eastAsia="Arial" w:hAnsi="Arial"/>
                <w:b/>
                <w:bCs/>
                <w:i w:val="false"/>
                <w:iCs w:val="false"/>
                <w:color w:val="1E8449"/>
                <w:sz w:val="19"/>
                <w:szCs w:val="19"/>
              </w:rPr>
              <w:t xml:space="preserve">&lt; 5 minutes</w:t>
            </w:r>
          </w:p>
        </w:tc>
      </w:tr>
      <w:tr>
        <w:tc>
          <w:tcPr>
            <w:tcW w:type="dxa" w:w="22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1F3864"/>
                <w:sz w:val="19"/>
                <w:szCs w:val="19"/>
              </w:rPr>
              <w:t xml:space="preserve">PostgreSQL Primary DB</w:t>
            </w:r>
          </w:p>
        </w:tc>
        <w:tc>
          <w:tcPr>
            <w:tcW w:type="dxa" w:w="2600"/>
            <w:tcBorders>
              <w:top w:val="single" w:color="FADBD8" w:sz="2"/>
              <w:left w:val="single" w:color="FADBD8" w:sz="2"/>
              <w:bottom w:val="single" w:color="FADBD8" w:sz="2"/>
              <w:right w:val="single" w:color="FADBD8" w:sz="2"/>
            </w:tcBorders>
            <w:shd w:fill="FADBD8" w:val="clear"/>
            <w:tcMar>
              <w:top w:type="dxa" w:w="80"/>
              <w:left w:type="dxa" w:w="120"/>
              <w:bottom w:type="dxa" w:w="80"/>
              <w:right w:type="dxa" w:w="120"/>
            </w:tcMar>
            <w:vAlign w:val="center"/>
          </w:tcPr>
          <w:p>
            <w:pPr>
              <w:spacing w:before="0" w:after="100"/>
              <w:jc w:val="center"/>
            </w:pPr>
            <w:r>
              <w:rPr>
                <w:rFonts w:ascii="Arial" w:cs="Arial" w:eastAsia="Arial" w:hAnsi="Arial"/>
                <w:b/>
                <w:bCs/>
                <w:i w:val="false"/>
                <w:iCs w:val="false"/>
                <w:color w:val="C0392B"/>
                <w:sz w:val="18"/>
                <w:szCs w:val="18"/>
              </w:rPr>
              <w:t xml:space="preserve">Tier 1 — Critical</w:t>
            </w:r>
          </w:p>
        </w:tc>
        <w:tc>
          <w:tcPr>
            <w:tcW w:type="dxa" w:w="26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vAlign w:val="center"/>
          </w:tcPr>
          <w:p>
            <w:pPr>
              <w:spacing w:before="0" w:after="100"/>
              <w:jc w:val="center"/>
            </w:pPr>
            <w:r>
              <w:rPr>
                <w:rFonts w:ascii="Arial" w:cs="Arial" w:eastAsia="Arial" w:hAnsi="Arial"/>
                <w:b/>
                <w:bCs/>
                <w:i w:val="false"/>
                <w:iCs w:val="false"/>
                <w:color w:val="117A65"/>
                <w:sz w:val="19"/>
                <w:szCs w:val="19"/>
              </w:rPr>
              <w:t xml:space="preserve">&lt; 1 hour</w:t>
            </w:r>
          </w:p>
        </w:tc>
        <w:tc>
          <w:tcPr>
            <w:tcW w:type="dxa" w:w="304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vAlign w:val="center"/>
          </w:tcPr>
          <w:p>
            <w:pPr>
              <w:spacing w:before="0" w:after="100"/>
              <w:jc w:val="center"/>
            </w:pPr>
            <w:r>
              <w:rPr>
                <w:rFonts w:ascii="Arial" w:cs="Arial" w:eastAsia="Arial" w:hAnsi="Arial"/>
                <w:b/>
                <w:bCs/>
                <w:i w:val="false"/>
                <w:iCs w:val="false"/>
                <w:color w:val="1E8449"/>
                <w:sz w:val="19"/>
                <w:szCs w:val="19"/>
              </w:rPr>
              <w:t xml:space="preserve">&lt; 1 minute (WAL streaming)</w:t>
            </w:r>
          </w:p>
        </w:tc>
      </w:tr>
      <w:tr>
        <w:tc>
          <w:tcPr>
            <w:tcW w:type="dxa" w:w="2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1F3864"/>
                <w:sz w:val="19"/>
                <w:szCs w:val="19"/>
              </w:rPr>
              <w:t xml:space="preserve">Kafka Event Bus</w:t>
            </w:r>
          </w:p>
        </w:tc>
        <w:tc>
          <w:tcPr>
            <w:tcW w:type="dxa" w:w="2600"/>
            <w:tcBorders>
              <w:top w:val="single" w:color="FADBD8" w:sz="2"/>
              <w:left w:val="single" w:color="FADBD8" w:sz="2"/>
              <w:bottom w:val="single" w:color="FADBD8" w:sz="2"/>
              <w:right w:val="single" w:color="FADBD8" w:sz="2"/>
            </w:tcBorders>
            <w:shd w:fill="FADBD8" w:val="clear"/>
            <w:tcMar>
              <w:top w:type="dxa" w:w="80"/>
              <w:left w:type="dxa" w:w="120"/>
              <w:bottom w:type="dxa" w:w="80"/>
              <w:right w:type="dxa" w:w="120"/>
            </w:tcMar>
            <w:vAlign w:val="center"/>
          </w:tcPr>
          <w:p>
            <w:pPr>
              <w:spacing w:before="0" w:after="100"/>
              <w:jc w:val="center"/>
            </w:pPr>
            <w:r>
              <w:rPr>
                <w:rFonts w:ascii="Arial" w:cs="Arial" w:eastAsia="Arial" w:hAnsi="Arial"/>
                <w:b/>
                <w:bCs/>
                <w:i w:val="false"/>
                <w:iCs w:val="false"/>
                <w:color w:val="C0392B"/>
                <w:sz w:val="18"/>
                <w:szCs w:val="18"/>
              </w:rPr>
              <w:t xml:space="preserve">Tier 1 — Critical</w:t>
            </w:r>
          </w:p>
        </w:tc>
        <w:tc>
          <w:tcPr>
            <w:tcW w:type="dxa" w:w="2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spacing w:before="0" w:after="100"/>
              <w:jc w:val="center"/>
            </w:pPr>
            <w:r>
              <w:rPr>
                <w:rFonts w:ascii="Arial" w:cs="Arial" w:eastAsia="Arial" w:hAnsi="Arial"/>
                <w:b/>
                <w:bCs/>
                <w:i w:val="false"/>
                <w:iCs w:val="false"/>
                <w:color w:val="117A65"/>
                <w:sz w:val="19"/>
                <w:szCs w:val="19"/>
              </w:rPr>
              <w:t xml:space="preserve">&lt; 2 hours</w:t>
            </w:r>
          </w:p>
        </w:tc>
        <w:tc>
          <w:tcPr>
            <w:tcW w:type="dxa" w:w="304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spacing w:before="0" w:after="100"/>
              <w:jc w:val="center"/>
            </w:pPr>
            <w:r>
              <w:rPr>
                <w:rFonts w:ascii="Arial" w:cs="Arial" w:eastAsia="Arial" w:hAnsi="Arial"/>
                <w:b/>
                <w:bCs/>
                <w:i w:val="false"/>
                <w:iCs w:val="false"/>
                <w:color w:val="1E8449"/>
                <w:sz w:val="19"/>
                <w:szCs w:val="19"/>
              </w:rPr>
              <w:t xml:space="preserve">&lt; 15 minutes</w:t>
            </w:r>
          </w:p>
        </w:tc>
      </w:tr>
      <w:tr>
        <w:tc>
          <w:tcPr>
            <w:tcW w:type="dxa" w:w="22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1F3864"/>
                <w:sz w:val="19"/>
                <w:szCs w:val="19"/>
              </w:rPr>
              <w:t xml:space="preserve">AML Monitoring Service</w:t>
            </w:r>
          </w:p>
        </w:tc>
        <w:tc>
          <w:tcPr>
            <w:tcW w:type="dxa" w:w="2600"/>
            <w:tcBorders>
              <w:top w:val="single" w:color="FDEBD0" w:sz="2"/>
              <w:left w:val="single" w:color="FDEBD0" w:sz="2"/>
              <w:bottom w:val="single" w:color="FDEBD0" w:sz="2"/>
              <w:right w:val="single" w:color="FDEBD0" w:sz="2"/>
            </w:tcBorders>
            <w:shd w:fill="FDEBD0" w:val="clear"/>
            <w:tcMar>
              <w:top w:type="dxa" w:w="80"/>
              <w:left w:type="dxa" w:w="120"/>
              <w:bottom w:type="dxa" w:w="80"/>
              <w:right w:type="dxa" w:w="120"/>
            </w:tcMar>
            <w:vAlign w:val="center"/>
          </w:tcPr>
          <w:p>
            <w:pPr>
              <w:spacing w:before="0" w:after="100"/>
              <w:jc w:val="center"/>
            </w:pPr>
            <w:r>
              <w:rPr>
                <w:rFonts w:ascii="Arial" w:cs="Arial" w:eastAsia="Arial" w:hAnsi="Arial"/>
                <w:b/>
                <w:bCs/>
                <w:i w:val="false"/>
                <w:iCs w:val="false"/>
                <w:color w:val="CA6F1E"/>
                <w:sz w:val="18"/>
                <w:szCs w:val="18"/>
              </w:rPr>
              <w:t xml:space="preserve">Tier 2 — Important</w:t>
            </w:r>
          </w:p>
        </w:tc>
        <w:tc>
          <w:tcPr>
            <w:tcW w:type="dxa" w:w="26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vAlign w:val="center"/>
          </w:tcPr>
          <w:p>
            <w:pPr>
              <w:spacing w:before="0" w:after="100"/>
              <w:jc w:val="center"/>
            </w:pPr>
            <w:r>
              <w:rPr>
                <w:rFonts w:ascii="Arial" w:cs="Arial" w:eastAsia="Arial" w:hAnsi="Arial"/>
                <w:b/>
                <w:bCs/>
                <w:i w:val="false"/>
                <w:iCs w:val="false"/>
                <w:color w:val="117A65"/>
                <w:sz w:val="19"/>
                <w:szCs w:val="19"/>
              </w:rPr>
              <w:t xml:space="preserve">&lt; 4 hours</w:t>
            </w:r>
          </w:p>
        </w:tc>
        <w:tc>
          <w:tcPr>
            <w:tcW w:type="dxa" w:w="304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vAlign w:val="center"/>
          </w:tcPr>
          <w:p>
            <w:pPr>
              <w:spacing w:before="0" w:after="100"/>
              <w:jc w:val="center"/>
            </w:pPr>
            <w:r>
              <w:rPr>
                <w:rFonts w:ascii="Arial" w:cs="Arial" w:eastAsia="Arial" w:hAnsi="Arial"/>
                <w:b/>
                <w:bCs/>
                <w:i w:val="false"/>
                <w:iCs w:val="false"/>
                <w:color w:val="1E8449"/>
                <w:sz w:val="19"/>
                <w:szCs w:val="19"/>
              </w:rPr>
              <w:t xml:space="preserve">&lt; 1 hour</w:t>
            </w:r>
          </w:p>
        </w:tc>
      </w:tr>
      <w:tr>
        <w:tc>
          <w:tcPr>
            <w:tcW w:type="dxa" w:w="2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1F3864"/>
                <w:sz w:val="19"/>
                <w:szCs w:val="19"/>
              </w:rPr>
              <w:t xml:space="preserve">Compliance Reporting DB</w:t>
            </w:r>
          </w:p>
        </w:tc>
        <w:tc>
          <w:tcPr>
            <w:tcW w:type="dxa" w:w="2600"/>
            <w:tcBorders>
              <w:top w:val="single" w:color="FDEBD0" w:sz="2"/>
              <w:left w:val="single" w:color="FDEBD0" w:sz="2"/>
              <w:bottom w:val="single" w:color="FDEBD0" w:sz="2"/>
              <w:right w:val="single" w:color="FDEBD0" w:sz="2"/>
            </w:tcBorders>
            <w:shd w:fill="FDEBD0" w:val="clear"/>
            <w:tcMar>
              <w:top w:type="dxa" w:w="80"/>
              <w:left w:type="dxa" w:w="120"/>
              <w:bottom w:type="dxa" w:w="80"/>
              <w:right w:type="dxa" w:w="120"/>
            </w:tcMar>
            <w:vAlign w:val="center"/>
          </w:tcPr>
          <w:p>
            <w:pPr>
              <w:spacing w:before="0" w:after="100"/>
              <w:jc w:val="center"/>
            </w:pPr>
            <w:r>
              <w:rPr>
                <w:rFonts w:ascii="Arial" w:cs="Arial" w:eastAsia="Arial" w:hAnsi="Arial"/>
                <w:b/>
                <w:bCs/>
                <w:i w:val="false"/>
                <w:iCs w:val="false"/>
                <w:color w:val="CA6F1E"/>
                <w:sz w:val="18"/>
                <w:szCs w:val="18"/>
              </w:rPr>
              <w:t xml:space="preserve">Tier 2 — Important</w:t>
            </w:r>
          </w:p>
        </w:tc>
        <w:tc>
          <w:tcPr>
            <w:tcW w:type="dxa" w:w="2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spacing w:before="0" w:after="100"/>
              <w:jc w:val="center"/>
            </w:pPr>
            <w:r>
              <w:rPr>
                <w:rFonts w:ascii="Arial" w:cs="Arial" w:eastAsia="Arial" w:hAnsi="Arial"/>
                <w:b/>
                <w:bCs/>
                <w:i w:val="false"/>
                <w:iCs w:val="false"/>
                <w:color w:val="117A65"/>
                <w:sz w:val="19"/>
                <w:szCs w:val="19"/>
              </w:rPr>
              <w:t xml:space="preserve">&lt; 4 hours</w:t>
            </w:r>
          </w:p>
        </w:tc>
        <w:tc>
          <w:tcPr>
            <w:tcW w:type="dxa" w:w="304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spacing w:before="0" w:after="100"/>
              <w:jc w:val="center"/>
            </w:pPr>
            <w:r>
              <w:rPr>
                <w:rFonts w:ascii="Arial" w:cs="Arial" w:eastAsia="Arial" w:hAnsi="Arial"/>
                <w:b/>
                <w:bCs/>
                <w:i w:val="false"/>
                <w:iCs w:val="false"/>
                <w:color w:val="1E8449"/>
                <w:sz w:val="19"/>
                <w:szCs w:val="19"/>
              </w:rPr>
              <w:t xml:space="preserve">&lt; 1 hour</w:t>
            </w:r>
          </w:p>
        </w:tc>
      </w:tr>
      <w:tr>
        <w:tc>
          <w:tcPr>
            <w:tcW w:type="dxa" w:w="22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1F3864"/>
                <w:sz w:val="19"/>
                <w:szCs w:val="19"/>
              </w:rPr>
              <w:t xml:space="preserve">Analytics / Tableau Dashboards</w:t>
            </w:r>
          </w:p>
        </w:tc>
        <w:tc>
          <w:tcPr>
            <w:tcW w:type="dxa" w:w="2600"/>
            <w:tcBorders>
              <w:top w:val="single" w:color="D6E4F0" w:sz="2"/>
              <w:left w:val="single" w:color="D6E4F0" w:sz="2"/>
              <w:bottom w:val="single" w:color="D6E4F0" w:sz="2"/>
              <w:right w:val="single" w:color="D6E4F0" w:sz="2"/>
            </w:tcBorders>
            <w:shd w:fill="D6E4F0" w:val="clear"/>
            <w:tcMar>
              <w:top w:type="dxa" w:w="80"/>
              <w:left w:type="dxa" w:w="120"/>
              <w:bottom w:type="dxa" w:w="80"/>
              <w:right w:type="dxa" w:w="120"/>
            </w:tcMar>
            <w:vAlign w:val="center"/>
          </w:tcPr>
          <w:p>
            <w:pPr>
              <w:spacing w:before="0" w:after="100"/>
              <w:jc w:val="center"/>
            </w:pPr>
            <w:r>
              <w:rPr>
                <w:rFonts w:ascii="Arial" w:cs="Arial" w:eastAsia="Arial" w:hAnsi="Arial"/>
                <w:b/>
                <w:bCs/>
                <w:i w:val="false"/>
                <w:iCs w:val="false"/>
                <w:color w:val="2E75B6"/>
                <w:sz w:val="18"/>
                <w:szCs w:val="18"/>
              </w:rPr>
              <w:t xml:space="preserve">Tier 3 — Standard</w:t>
            </w:r>
          </w:p>
        </w:tc>
        <w:tc>
          <w:tcPr>
            <w:tcW w:type="dxa" w:w="26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vAlign w:val="center"/>
          </w:tcPr>
          <w:p>
            <w:pPr>
              <w:spacing w:before="0" w:after="100"/>
              <w:jc w:val="center"/>
            </w:pPr>
            <w:r>
              <w:rPr>
                <w:rFonts w:ascii="Arial" w:cs="Arial" w:eastAsia="Arial" w:hAnsi="Arial"/>
                <w:b/>
                <w:bCs/>
                <w:i w:val="false"/>
                <w:iCs w:val="false"/>
                <w:color w:val="117A65"/>
                <w:sz w:val="19"/>
                <w:szCs w:val="19"/>
              </w:rPr>
              <w:t xml:space="preserve">&lt; 8 hours</w:t>
            </w:r>
          </w:p>
        </w:tc>
        <w:tc>
          <w:tcPr>
            <w:tcW w:type="dxa" w:w="304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vAlign w:val="center"/>
          </w:tcPr>
          <w:p>
            <w:pPr>
              <w:spacing w:before="0" w:after="100"/>
              <w:jc w:val="center"/>
            </w:pPr>
            <w:r>
              <w:rPr>
                <w:rFonts w:ascii="Arial" w:cs="Arial" w:eastAsia="Arial" w:hAnsi="Arial"/>
                <w:b/>
                <w:bCs/>
                <w:i w:val="false"/>
                <w:iCs w:val="false"/>
                <w:color w:val="1E8449"/>
                <w:sz w:val="19"/>
                <w:szCs w:val="19"/>
              </w:rPr>
              <w:t xml:space="preserve">&lt; 4 hours</w:t>
            </w:r>
          </w:p>
        </w:tc>
      </w:tr>
    </w:tbl>
    <w:p>
      <w:pPr>
        <w:spacing w:before="0" w:after="120"/>
      </w:pP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single" w:color="CA6F1E" w:sz="2"/>
              <w:left w:val="single" w:color="CA6F1E" w:sz="2"/>
              <w:bottom w:val="single" w:color="CA6F1E" w:sz="2"/>
              <w:right w:val="single" w:color="CA6F1E" w:sz="2"/>
            </w:tcBorders>
            <w:shd w:fill="CA6F1E" w:val="clear"/>
            <w:tcMar>
              <w:top w:type="dxa" w:w="100"/>
              <w:left w:type="dxa" w:w="200"/>
              <w:bottom w:type="dxa" w:w="100"/>
              <w:right w:type="dxa" w:w="200"/>
            </w:tcMar>
            <w:vAlign w:val="top"/>
          </w:tcPr>
          <w:p>
            <w:pPr>
              <w:spacing w:before="0" w:after="100"/>
              <w:jc w:val="left"/>
            </w:pPr>
            <w:r>
              <w:rPr>
                <w:rFonts w:ascii="Arial" w:cs="Arial" w:eastAsia="Arial" w:hAnsi="Arial"/>
                <w:b/>
                <w:bCs/>
                <w:i w:val="false"/>
                <w:iCs w:val="false"/>
                <w:color w:val="FFFFFF"/>
                <w:sz w:val="22"/>
                <w:szCs w:val="22"/>
              </w:rPr>
              <w:t xml:space="preserve">B2: Backup Schedule and Retention Policy</w:t>
            </w:r>
          </w:p>
        </w:tc>
      </w:tr>
    </w:tbl>
    <w:p>
      <w:pPr>
        <w:spacing w:before="0" w:after="60"/>
      </w:pP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400"/>
        <w:gridCol w:w="2040"/>
        <w:gridCol w:w="2200"/>
        <w:gridCol w:w="2000"/>
        <w:gridCol w:w="1800"/>
      </w:tblGrid>
      <w:tr>
        <w:tc>
          <w:tcPr>
            <w:tcW w:type="dxa" w:w="2400"/>
            <w:tcBorders>
              <w:top w:val="single" w:color="1F3864" w:sz="2"/>
              <w:left w:val="single" w:color="1F3864" w:sz="2"/>
              <w:bottom w:val="single" w:color="1F3864" w:sz="2"/>
              <w:right w:val="single" w:color="1F3864" w:sz="2"/>
            </w:tcBorders>
            <w:shd w:fill="1F3864" w:val="clear"/>
            <w:tcMar>
              <w:top w:type="dxa" w:w="100"/>
              <w:left w:type="dxa" w:w="120"/>
              <w:bottom w:type="dxa" w:w="100"/>
              <w:right w:type="dxa" w:w="120"/>
            </w:tcMar>
            <w:vAlign w:val="top"/>
          </w:tcPr>
          <w:p>
            <w:pPr>
              <w:spacing w:before="0" w:after="100"/>
              <w:jc w:val="left"/>
            </w:pPr>
            <w:r>
              <w:rPr>
                <w:rFonts w:ascii="Arial" w:cs="Arial" w:eastAsia="Arial" w:hAnsi="Arial"/>
                <w:b/>
                <w:bCs/>
                <w:i w:val="false"/>
                <w:iCs w:val="false"/>
                <w:color w:val="FFFFFF"/>
                <w:sz w:val="20"/>
                <w:szCs w:val="20"/>
              </w:rPr>
              <w:t xml:space="preserve">Backup Type</w:t>
            </w:r>
          </w:p>
        </w:tc>
        <w:tc>
          <w:tcPr>
            <w:tcW w:type="dxa" w:w="2040"/>
            <w:tcBorders>
              <w:top w:val="single" w:color="1F3864" w:sz="2"/>
              <w:left w:val="single" w:color="1F3864" w:sz="2"/>
              <w:bottom w:val="single" w:color="1F3864" w:sz="2"/>
              <w:right w:val="single" w:color="1F3864" w:sz="2"/>
            </w:tcBorders>
            <w:shd w:fill="1F3864" w:val="clear"/>
            <w:tcMar>
              <w:top w:type="dxa" w:w="100"/>
              <w:left w:type="dxa" w:w="120"/>
              <w:bottom w:type="dxa" w:w="100"/>
              <w:right w:type="dxa" w:w="120"/>
            </w:tcMar>
            <w:vAlign w:val="top"/>
          </w:tcPr>
          <w:p>
            <w:pPr>
              <w:spacing w:before="0" w:after="100"/>
              <w:jc w:val="center"/>
            </w:pPr>
            <w:r>
              <w:rPr>
                <w:rFonts w:ascii="Arial" w:cs="Arial" w:eastAsia="Arial" w:hAnsi="Arial"/>
                <w:b/>
                <w:bCs/>
                <w:i w:val="false"/>
                <w:iCs w:val="false"/>
                <w:color w:val="FFFFFF"/>
                <w:sz w:val="20"/>
                <w:szCs w:val="20"/>
              </w:rPr>
              <w:t xml:space="preserve">Frequency</w:t>
            </w:r>
          </w:p>
        </w:tc>
        <w:tc>
          <w:tcPr>
            <w:tcW w:type="dxa" w:w="2200"/>
            <w:tcBorders>
              <w:top w:val="single" w:color="1F3864" w:sz="2"/>
              <w:left w:val="single" w:color="1F3864" w:sz="2"/>
              <w:bottom w:val="single" w:color="1F3864" w:sz="2"/>
              <w:right w:val="single" w:color="1F3864" w:sz="2"/>
            </w:tcBorders>
            <w:shd w:fill="1F3864" w:val="clear"/>
            <w:tcMar>
              <w:top w:type="dxa" w:w="100"/>
              <w:left w:type="dxa" w:w="120"/>
              <w:bottom w:type="dxa" w:w="100"/>
              <w:right w:type="dxa" w:w="120"/>
            </w:tcMar>
            <w:vAlign w:val="top"/>
          </w:tcPr>
          <w:p>
            <w:pPr>
              <w:spacing w:before="0" w:after="100"/>
              <w:jc w:val="center"/>
            </w:pPr>
            <w:r>
              <w:rPr>
                <w:rFonts w:ascii="Arial" w:cs="Arial" w:eastAsia="Arial" w:hAnsi="Arial"/>
                <w:b/>
                <w:bCs/>
                <w:i w:val="false"/>
                <w:iCs w:val="false"/>
                <w:color w:val="FFFFFF"/>
                <w:sz w:val="20"/>
                <w:szCs w:val="20"/>
              </w:rPr>
              <w:t xml:space="preserve">Storage Location</w:t>
            </w:r>
          </w:p>
        </w:tc>
        <w:tc>
          <w:tcPr>
            <w:tcW w:type="dxa" w:w="2000"/>
            <w:tcBorders>
              <w:top w:val="single" w:color="1F3864" w:sz="2"/>
              <w:left w:val="single" w:color="1F3864" w:sz="2"/>
              <w:bottom w:val="single" w:color="1F3864" w:sz="2"/>
              <w:right w:val="single" w:color="1F3864" w:sz="2"/>
            </w:tcBorders>
            <w:shd w:fill="1F3864" w:val="clear"/>
            <w:tcMar>
              <w:top w:type="dxa" w:w="100"/>
              <w:left w:type="dxa" w:w="120"/>
              <w:bottom w:type="dxa" w:w="100"/>
              <w:right w:type="dxa" w:w="120"/>
            </w:tcMar>
            <w:vAlign w:val="top"/>
          </w:tcPr>
          <w:p>
            <w:pPr>
              <w:spacing w:before="0" w:after="100"/>
              <w:jc w:val="center"/>
            </w:pPr>
            <w:r>
              <w:rPr>
                <w:rFonts w:ascii="Arial" w:cs="Arial" w:eastAsia="Arial" w:hAnsi="Arial"/>
                <w:b/>
                <w:bCs/>
                <w:i w:val="false"/>
                <w:iCs w:val="false"/>
                <w:color w:val="FFFFFF"/>
                <w:sz w:val="20"/>
                <w:szCs w:val="20"/>
              </w:rPr>
              <w:t xml:space="preserve">Retention</w:t>
            </w:r>
          </w:p>
        </w:tc>
        <w:tc>
          <w:tcPr>
            <w:tcW w:type="dxa" w:w="1800"/>
            <w:tcBorders>
              <w:top w:val="single" w:color="1F3864" w:sz="2"/>
              <w:left w:val="single" w:color="1F3864" w:sz="2"/>
              <w:bottom w:val="single" w:color="1F3864" w:sz="2"/>
              <w:right w:val="single" w:color="1F3864" w:sz="2"/>
            </w:tcBorders>
            <w:shd w:fill="1F3864" w:val="clear"/>
            <w:tcMar>
              <w:top w:type="dxa" w:w="100"/>
              <w:left w:type="dxa" w:w="120"/>
              <w:bottom w:type="dxa" w:w="100"/>
              <w:right w:type="dxa" w:w="120"/>
            </w:tcMar>
            <w:vAlign w:val="top"/>
          </w:tcPr>
          <w:p>
            <w:pPr>
              <w:spacing w:before="0" w:after="100"/>
              <w:jc w:val="center"/>
            </w:pPr>
            <w:r>
              <w:rPr>
                <w:rFonts w:ascii="Arial" w:cs="Arial" w:eastAsia="Arial" w:hAnsi="Arial"/>
                <w:b/>
                <w:bCs/>
                <w:i w:val="false"/>
                <w:iCs w:val="false"/>
                <w:color w:val="FFFFFF"/>
                <w:sz w:val="20"/>
                <w:szCs w:val="20"/>
              </w:rPr>
              <w:t xml:space="preserve">Encryption</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CA6F1E"/>
                <w:sz w:val="18"/>
                <w:szCs w:val="18"/>
              </w:rPr>
              <w:t xml:space="preserve">PostgreSQL Full Backup (pg_basebackup)</w:t>
            </w:r>
          </w:p>
        </w:tc>
        <w:tc>
          <w:tcPr>
            <w:tcW w:type="dxa" w:w="204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111111"/>
                <w:sz w:val="18"/>
                <w:szCs w:val="18"/>
              </w:rPr>
              <w:t xml:space="preserve">Daily — 02:00 UTC</w:t>
            </w:r>
          </w:p>
        </w:tc>
        <w:tc>
          <w:tcPr>
            <w:tcW w:type="dxa" w:w="2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111111"/>
                <w:sz w:val="18"/>
                <w:szCs w:val="18"/>
              </w:rPr>
              <w:t xml:space="preserve">IBM Cloud Object Storage (cross-region)</w:t>
            </w:r>
          </w:p>
        </w:tc>
        <w:tc>
          <w:tcPr>
            <w:tcW w:type="dxa" w:w="2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spacing w:before="0" w:after="100"/>
              <w:jc w:val="center"/>
            </w:pPr>
            <w:r>
              <w:rPr>
                <w:rFonts w:ascii="Arial" w:cs="Arial" w:eastAsia="Arial" w:hAnsi="Arial"/>
                <w:b/>
                <w:bCs/>
                <w:i w:val="false"/>
                <w:iCs w:val="false"/>
                <w:color w:val="117A65"/>
                <w:sz w:val="18"/>
                <w:szCs w:val="18"/>
              </w:rPr>
              <w:t xml:space="preserve">35 days</w:t>
            </w:r>
          </w:p>
        </w:tc>
        <w:tc>
          <w:tcPr>
            <w:tcW w:type="dxa" w:w="1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spacing w:before="0" w:after="100"/>
              <w:jc w:val="center"/>
            </w:pPr>
            <w:r>
              <w:rPr>
                <w:rFonts w:ascii="Arial" w:cs="Arial" w:eastAsia="Arial" w:hAnsi="Arial"/>
                <w:b w:val="false"/>
                <w:bCs w:val="false"/>
                <w:i w:val="false"/>
                <w:iCs w:val="false"/>
                <w:color w:val="1E8449"/>
                <w:sz w:val="18"/>
                <w:szCs w:val="18"/>
              </w:rPr>
              <w:t xml:space="preserve">AES-256</w:t>
            </w:r>
          </w:p>
        </w:tc>
      </w:tr>
      <w:tr>
        <w:tc>
          <w:tcPr>
            <w:tcW w:type="dxa" w:w="24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CA6F1E"/>
                <w:sz w:val="18"/>
                <w:szCs w:val="18"/>
              </w:rPr>
              <w:t xml:space="preserve">PostgreSQL WAL Archiving (PITR)</w:t>
            </w:r>
          </w:p>
        </w:tc>
        <w:tc>
          <w:tcPr>
            <w:tcW w:type="dxa" w:w="204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111111"/>
                <w:sz w:val="18"/>
                <w:szCs w:val="18"/>
              </w:rPr>
              <w:t xml:space="preserve">Continuous — every 5 minutes</w:t>
            </w:r>
          </w:p>
        </w:tc>
        <w:tc>
          <w:tcPr>
            <w:tcW w:type="dxa" w:w="22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111111"/>
                <w:sz w:val="18"/>
                <w:szCs w:val="18"/>
              </w:rPr>
              <w:t xml:space="preserve">IBM Cloud Object Storage (primary region)</w:t>
            </w:r>
          </w:p>
        </w:tc>
        <w:tc>
          <w:tcPr>
            <w:tcW w:type="dxa" w:w="20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vAlign w:val="center"/>
          </w:tcPr>
          <w:p>
            <w:pPr>
              <w:spacing w:before="0" w:after="100"/>
              <w:jc w:val="center"/>
            </w:pPr>
            <w:r>
              <w:rPr>
                <w:rFonts w:ascii="Arial" w:cs="Arial" w:eastAsia="Arial" w:hAnsi="Arial"/>
                <w:b/>
                <w:bCs/>
                <w:i w:val="false"/>
                <w:iCs w:val="false"/>
                <w:color w:val="117A65"/>
                <w:sz w:val="18"/>
                <w:szCs w:val="18"/>
              </w:rPr>
              <w:t xml:space="preserve">7 days</w:t>
            </w:r>
          </w:p>
        </w:tc>
        <w:tc>
          <w:tcPr>
            <w:tcW w:type="dxa" w:w="18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vAlign w:val="center"/>
          </w:tcPr>
          <w:p>
            <w:pPr>
              <w:spacing w:before="0" w:after="100"/>
              <w:jc w:val="center"/>
            </w:pPr>
            <w:r>
              <w:rPr>
                <w:rFonts w:ascii="Arial" w:cs="Arial" w:eastAsia="Arial" w:hAnsi="Arial"/>
                <w:b w:val="false"/>
                <w:bCs w:val="false"/>
                <w:i w:val="false"/>
                <w:iCs w:val="false"/>
                <w:color w:val="1E8449"/>
                <w:sz w:val="18"/>
                <w:szCs w:val="18"/>
              </w:rPr>
              <w:t xml:space="preserve">AES-256</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CA6F1E"/>
                <w:sz w:val="18"/>
                <w:szCs w:val="18"/>
              </w:rPr>
              <w:t xml:space="preserve">Kafka Topic Snapshots</w:t>
            </w:r>
          </w:p>
        </w:tc>
        <w:tc>
          <w:tcPr>
            <w:tcW w:type="dxa" w:w="204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111111"/>
                <w:sz w:val="18"/>
                <w:szCs w:val="18"/>
              </w:rPr>
              <w:t xml:space="preserve">Every 6 hours</w:t>
            </w:r>
          </w:p>
        </w:tc>
        <w:tc>
          <w:tcPr>
            <w:tcW w:type="dxa" w:w="2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111111"/>
                <w:sz w:val="18"/>
                <w:szCs w:val="18"/>
              </w:rPr>
              <w:t xml:space="preserve">IBM Cloud Object Storage (cross-region)</w:t>
            </w:r>
          </w:p>
        </w:tc>
        <w:tc>
          <w:tcPr>
            <w:tcW w:type="dxa" w:w="2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spacing w:before="0" w:after="100"/>
              <w:jc w:val="center"/>
            </w:pPr>
            <w:r>
              <w:rPr>
                <w:rFonts w:ascii="Arial" w:cs="Arial" w:eastAsia="Arial" w:hAnsi="Arial"/>
                <w:b/>
                <w:bCs/>
                <w:i w:val="false"/>
                <w:iCs w:val="false"/>
                <w:color w:val="117A65"/>
                <w:sz w:val="18"/>
                <w:szCs w:val="18"/>
              </w:rPr>
              <w:t xml:space="preserve">30 days</w:t>
            </w:r>
          </w:p>
        </w:tc>
        <w:tc>
          <w:tcPr>
            <w:tcW w:type="dxa" w:w="1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spacing w:before="0" w:after="100"/>
              <w:jc w:val="center"/>
            </w:pPr>
            <w:r>
              <w:rPr>
                <w:rFonts w:ascii="Arial" w:cs="Arial" w:eastAsia="Arial" w:hAnsi="Arial"/>
                <w:b w:val="false"/>
                <w:bCs w:val="false"/>
                <w:i w:val="false"/>
                <w:iCs w:val="false"/>
                <w:color w:val="1E8449"/>
                <w:sz w:val="18"/>
                <w:szCs w:val="18"/>
              </w:rPr>
              <w:t xml:space="preserve">AES-256</w:t>
            </w:r>
          </w:p>
        </w:tc>
      </w:tr>
      <w:tr>
        <w:tc>
          <w:tcPr>
            <w:tcW w:type="dxa" w:w="24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CA6F1E"/>
                <w:sz w:val="18"/>
                <w:szCs w:val="18"/>
              </w:rPr>
              <w:t xml:space="preserve">Container Image Snapshots</w:t>
            </w:r>
          </w:p>
        </w:tc>
        <w:tc>
          <w:tcPr>
            <w:tcW w:type="dxa" w:w="204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111111"/>
                <w:sz w:val="18"/>
                <w:szCs w:val="18"/>
              </w:rPr>
              <w:t xml:space="preserve">On every production deploy</w:t>
            </w:r>
          </w:p>
        </w:tc>
        <w:tc>
          <w:tcPr>
            <w:tcW w:type="dxa" w:w="22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111111"/>
                <w:sz w:val="18"/>
                <w:szCs w:val="18"/>
              </w:rPr>
              <w:t xml:space="preserve">IBM Container Registry (2 regions)</w:t>
            </w:r>
          </w:p>
        </w:tc>
        <w:tc>
          <w:tcPr>
            <w:tcW w:type="dxa" w:w="20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vAlign w:val="center"/>
          </w:tcPr>
          <w:p>
            <w:pPr>
              <w:spacing w:before="0" w:after="100"/>
              <w:jc w:val="center"/>
            </w:pPr>
            <w:r>
              <w:rPr>
                <w:rFonts w:ascii="Arial" w:cs="Arial" w:eastAsia="Arial" w:hAnsi="Arial"/>
                <w:b/>
                <w:bCs/>
                <w:i w:val="false"/>
                <w:iCs w:val="false"/>
                <w:color w:val="117A65"/>
                <w:sz w:val="18"/>
                <w:szCs w:val="18"/>
              </w:rPr>
              <w:t xml:space="preserve">10 versions</w:t>
            </w:r>
          </w:p>
        </w:tc>
        <w:tc>
          <w:tcPr>
            <w:tcW w:type="dxa" w:w="18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vAlign w:val="center"/>
          </w:tcPr>
          <w:p>
            <w:pPr>
              <w:spacing w:before="0" w:after="100"/>
              <w:jc w:val="center"/>
            </w:pPr>
            <w:r>
              <w:rPr>
                <w:rFonts w:ascii="Arial" w:cs="Arial" w:eastAsia="Arial" w:hAnsi="Arial"/>
                <w:b w:val="false"/>
                <w:bCs w:val="false"/>
                <w:i w:val="false"/>
                <w:iCs w:val="false"/>
                <w:color w:val="1E8449"/>
                <w:sz w:val="18"/>
                <w:szCs w:val="18"/>
              </w:rPr>
              <w:t xml:space="preserve">SHA-256 signed</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CA6F1E"/>
                <w:sz w:val="18"/>
                <w:szCs w:val="18"/>
              </w:rPr>
              <w:t xml:space="preserve">Kubernetes etcd Backup</w:t>
            </w:r>
          </w:p>
        </w:tc>
        <w:tc>
          <w:tcPr>
            <w:tcW w:type="dxa" w:w="204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111111"/>
                <w:sz w:val="18"/>
                <w:szCs w:val="18"/>
              </w:rPr>
              <w:t xml:space="preserve">Every 4 hours</w:t>
            </w:r>
          </w:p>
        </w:tc>
        <w:tc>
          <w:tcPr>
            <w:tcW w:type="dxa" w:w="2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111111"/>
                <w:sz w:val="18"/>
                <w:szCs w:val="18"/>
              </w:rPr>
              <w:t xml:space="preserve">Encrypted S3-compatible store</w:t>
            </w:r>
          </w:p>
        </w:tc>
        <w:tc>
          <w:tcPr>
            <w:tcW w:type="dxa" w:w="2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spacing w:before="0" w:after="100"/>
              <w:jc w:val="center"/>
            </w:pPr>
            <w:r>
              <w:rPr>
                <w:rFonts w:ascii="Arial" w:cs="Arial" w:eastAsia="Arial" w:hAnsi="Arial"/>
                <w:b/>
                <w:bCs/>
                <w:i w:val="false"/>
                <w:iCs w:val="false"/>
                <w:color w:val="117A65"/>
                <w:sz w:val="18"/>
                <w:szCs w:val="18"/>
              </w:rPr>
              <w:t xml:space="preserve">30 days</w:t>
            </w:r>
          </w:p>
        </w:tc>
        <w:tc>
          <w:tcPr>
            <w:tcW w:type="dxa" w:w="1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spacing w:before="0" w:after="100"/>
              <w:jc w:val="center"/>
            </w:pPr>
            <w:r>
              <w:rPr>
                <w:rFonts w:ascii="Arial" w:cs="Arial" w:eastAsia="Arial" w:hAnsi="Arial"/>
                <w:b w:val="false"/>
                <w:bCs w:val="false"/>
                <w:i w:val="false"/>
                <w:iCs w:val="false"/>
                <w:color w:val="1E8449"/>
                <w:sz w:val="18"/>
                <w:szCs w:val="18"/>
              </w:rPr>
              <w:t xml:space="preserve">AES-256</w:t>
            </w:r>
          </w:p>
        </w:tc>
      </w:tr>
      <w:tr>
        <w:tc>
          <w:tcPr>
            <w:tcW w:type="dxa" w:w="24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vAlign w:val="top"/>
          </w:tcPr>
          <w:p>
            <w:pPr>
              <w:spacing w:before="0" w:after="100"/>
              <w:jc w:val="left"/>
            </w:pPr>
            <w:r>
              <w:rPr>
                <w:rFonts w:ascii="Arial" w:cs="Arial" w:eastAsia="Arial" w:hAnsi="Arial"/>
                <w:b/>
                <w:bCs/>
                <w:i w:val="false"/>
                <w:iCs w:val="false"/>
                <w:color w:val="CA6F1E"/>
                <w:sz w:val="18"/>
                <w:szCs w:val="18"/>
              </w:rPr>
              <w:t xml:space="preserve">Application Config / Secrets Vault</w:t>
            </w:r>
          </w:p>
        </w:tc>
        <w:tc>
          <w:tcPr>
            <w:tcW w:type="dxa" w:w="204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111111"/>
                <w:sz w:val="18"/>
                <w:szCs w:val="18"/>
              </w:rPr>
              <w:t xml:space="preserve">On every change</w:t>
            </w:r>
          </w:p>
        </w:tc>
        <w:tc>
          <w:tcPr>
            <w:tcW w:type="dxa" w:w="22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111111"/>
                <w:sz w:val="18"/>
                <w:szCs w:val="18"/>
              </w:rPr>
              <w:t xml:space="preserve">HashiCorp Vault (replicated standby)</w:t>
            </w:r>
          </w:p>
        </w:tc>
        <w:tc>
          <w:tcPr>
            <w:tcW w:type="dxa" w:w="20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vAlign w:val="center"/>
          </w:tcPr>
          <w:p>
            <w:pPr>
              <w:spacing w:before="0" w:after="100"/>
              <w:jc w:val="center"/>
            </w:pPr>
            <w:r>
              <w:rPr>
                <w:rFonts w:ascii="Arial" w:cs="Arial" w:eastAsia="Arial" w:hAnsi="Arial"/>
                <w:b/>
                <w:bCs/>
                <w:i w:val="false"/>
                <w:iCs w:val="false"/>
                <w:color w:val="117A65"/>
                <w:sz w:val="18"/>
                <w:szCs w:val="18"/>
              </w:rPr>
              <w:t xml:space="preserve">Indefinite</w:t>
            </w:r>
          </w:p>
        </w:tc>
        <w:tc>
          <w:tcPr>
            <w:tcW w:type="dxa" w:w="18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vAlign w:val="center"/>
          </w:tcPr>
          <w:p>
            <w:pPr>
              <w:spacing w:before="0" w:after="100"/>
              <w:jc w:val="center"/>
            </w:pPr>
            <w:r>
              <w:rPr>
                <w:rFonts w:ascii="Arial" w:cs="Arial" w:eastAsia="Arial" w:hAnsi="Arial"/>
                <w:b w:val="false"/>
                <w:bCs w:val="false"/>
                <w:i w:val="false"/>
                <w:iCs w:val="false"/>
                <w:color w:val="1E8449"/>
                <w:sz w:val="18"/>
                <w:szCs w:val="18"/>
              </w:rPr>
              <w:t xml:space="preserve">AES-256 + TLS</w:t>
            </w:r>
          </w:p>
        </w:tc>
      </w:tr>
    </w:tbl>
    <w:p>
      <w:pPr>
        <w:spacing w:before="0" w:after="120"/>
      </w:pP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single" w:color="1F3864" w:sz="2"/>
              <w:left w:val="single" w:color="1F3864" w:sz="2"/>
              <w:bottom w:val="single" w:color="1F3864" w:sz="2"/>
              <w:right w:val="single" w:color="1F3864" w:sz="2"/>
            </w:tcBorders>
            <w:shd w:fill="1F3864" w:val="clear"/>
            <w:tcMar>
              <w:top w:type="dxa" w:w="100"/>
              <w:left w:type="dxa" w:w="200"/>
              <w:bottom w:type="dxa" w:w="100"/>
              <w:right w:type="dxa" w:w="200"/>
            </w:tcMar>
            <w:vAlign w:val="top"/>
          </w:tcPr>
          <w:p>
            <w:pPr>
              <w:spacing w:before="0" w:after="100"/>
              <w:jc w:val="left"/>
            </w:pPr>
            <w:r>
              <w:rPr>
                <w:rFonts w:ascii="Arial" w:cs="Arial" w:eastAsia="Arial" w:hAnsi="Arial"/>
                <w:b/>
                <w:bCs/>
                <w:i w:val="false"/>
                <w:iCs w:val="false"/>
                <w:color w:val="FFFFFF"/>
                <w:sz w:val="22"/>
                <w:szCs w:val="22"/>
              </w:rPr>
              <w:t xml:space="preserve">B3: Disaster Recovery Procedures</w:t>
            </w:r>
          </w:p>
        </w:tc>
      </w:tr>
    </w:tbl>
    <w:p>
      <w:pPr>
        <w:spacing w:before="0" w:after="60"/>
      </w:pP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7040"/>
      </w:tblGrid>
      <w:tr>
        <w:tc>
          <w:tcPr>
            <w:tcW w:type="dxa" w:w="600"/>
            <w:tcBorders>
              <w:top w:val="single" w:color="1F3864" w:sz="2"/>
              <w:left w:val="single" w:color="1F3864" w:sz="2"/>
              <w:bottom w:val="single" w:color="1F3864" w:sz="2"/>
              <w:right w:val="single" w:color="1F3864" w:sz="2"/>
            </w:tcBorders>
            <w:shd w:fill="1F3864" w:val="clear"/>
            <w:tcMar>
              <w:top w:type="dxa" w:w="100"/>
              <w:left w:type="dxa" w:w="120"/>
              <w:bottom w:type="dxa" w:w="100"/>
              <w:right w:type="dxa" w:w="120"/>
            </w:tcMar>
            <w:vAlign w:val="top"/>
          </w:tcPr>
          <w:p>
            <w:pPr>
              <w:spacing w:before="0" w:after="100"/>
              <w:jc w:val="center"/>
            </w:pPr>
            <w:r>
              <w:rPr>
                <w:rFonts w:ascii="Arial" w:cs="Arial" w:eastAsia="Arial" w:hAnsi="Arial"/>
                <w:b/>
                <w:bCs/>
                <w:i w:val="false"/>
                <w:iCs w:val="false"/>
                <w:color w:val="FFFFFF"/>
                <w:sz w:val="20"/>
                <w:szCs w:val="20"/>
              </w:rPr>
              <w:t xml:space="preserve">Step</w:t>
            </w:r>
          </w:p>
        </w:tc>
        <w:tc>
          <w:tcPr>
            <w:tcW w:type="dxa" w:w="2800"/>
            <w:tcBorders>
              <w:top w:val="single" w:color="1F3864" w:sz="2"/>
              <w:left w:val="single" w:color="1F3864" w:sz="2"/>
              <w:bottom w:val="single" w:color="1F3864" w:sz="2"/>
              <w:right w:val="single" w:color="1F3864" w:sz="2"/>
            </w:tcBorders>
            <w:shd w:fill="1F3864" w:val="clear"/>
            <w:tcMar>
              <w:top w:type="dxa" w:w="100"/>
              <w:left w:type="dxa" w:w="120"/>
              <w:bottom w:type="dxa" w:w="100"/>
              <w:right w:type="dxa" w:w="120"/>
            </w:tcMar>
            <w:vAlign w:val="top"/>
          </w:tcPr>
          <w:p>
            <w:pPr>
              <w:spacing w:before="0" w:after="100"/>
              <w:jc w:val="left"/>
            </w:pPr>
            <w:r>
              <w:rPr>
                <w:rFonts w:ascii="Arial" w:cs="Arial" w:eastAsia="Arial" w:hAnsi="Arial"/>
                <w:b/>
                <w:bCs/>
                <w:i w:val="false"/>
                <w:iCs w:val="false"/>
                <w:color w:val="FFFFFF"/>
                <w:sz w:val="20"/>
                <w:szCs w:val="20"/>
              </w:rPr>
              <w:t xml:space="preserve">Phase</w:t>
            </w:r>
          </w:p>
        </w:tc>
        <w:tc>
          <w:tcPr>
            <w:tcW w:type="dxa" w:w="7040"/>
            <w:tcBorders>
              <w:top w:val="single" w:color="1F3864" w:sz="2"/>
              <w:left w:val="single" w:color="1F3864" w:sz="2"/>
              <w:bottom w:val="single" w:color="1F3864" w:sz="2"/>
              <w:right w:val="single" w:color="1F3864" w:sz="2"/>
            </w:tcBorders>
            <w:shd w:fill="1F3864" w:val="clear"/>
            <w:tcMar>
              <w:top w:type="dxa" w:w="100"/>
              <w:left w:type="dxa" w:w="120"/>
              <w:bottom w:type="dxa" w:w="100"/>
              <w:right w:type="dxa" w:w="120"/>
            </w:tcMar>
            <w:vAlign w:val="top"/>
          </w:tcPr>
          <w:p>
            <w:pPr>
              <w:spacing w:before="0" w:after="100"/>
              <w:jc w:val="left"/>
            </w:pPr>
            <w:r>
              <w:rPr>
                <w:rFonts w:ascii="Arial" w:cs="Arial" w:eastAsia="Arial" w:hAnsi="Arial"/>
                <w:b/>
                <w:bCs/>
                <w:i w:val="false"/>
                <w:iCs w:val="false"/>
                <w:color w:val="FFFFFF"/>
                <w:sz w:val="20"/>
                <w:szCs w:val="20"/>
              </w:rPr>
              <w:t xml:space="preserve">Procedure Detail</w:t>
            </w:r>
          </w:p>
        </w:tc>
      </w:tr>
      <w:tr>
        <w:tc>
          <w:tcPr>
            <w:tcW w:type="dxa" w:w="6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spacing w:before="0" w:after="100"/>
              <w:jc w:val="center"/>
            </w:pPr>
            <w:r>
              <w:rPr>
                <w:rFonts w:ascii="Arial" w:cs="Arial" w:eastAsia="Arial" w:hAnsi="Arial"/>
                <w:b/>
                <w:bCs/>
                <w:i w:val="false"/>
                <w:iCs w:val="false"/>
                <w:color w:val="FFFFFF"/>
                <w:sz w:val="20"/>
                <w:szCs w:val="20"/>
              </w:rPr>
              <w:t xml:space="preserve">1</w:t>
            </w:r>
          </w:p>
        </w:tc>
        <w:tc>
          <w:tcPr>
            <w:tcW w:type="dxa" w:w="2800"/>
            <w:tcBorders>
              <w:top w:val="single" w:color="CCCCCC" w:sz="2"/>
              <w:left w:val="single" w:color="CCCCCC" w:sz="2"/>
              <w:bottom w:val="single" w:color="CCCCCC" w:sz="2"/>
              <w:right w:val="single" w:color="CCCCCC" w:sz="2"/>
            </w:tcBorders>
            <w:shd w:fill="D6E4F0" w:val="clear"/>
            <w:tcMar>
              <w:top w:type="dxa" w:w="80"/>
              <w:left w:type="dxa" w:w="120"/>
              <w:bottom w:type="dxa" w:w="80"/>
              <w:right w:type="dxa" w:w="120"/>
            </w:tcMar>
            <w:vAlign w:val="center"/>
          </w:tcPr>
          <w:p>
            <w:pPr>
              <w:spacing w:before="0" w:after="100"/>
              <w:jc w:val="left"/>
            </w:pPr>
            <w:r>
              <w:rPr>
                <w:rFonts w:ascii="Arial" w:cs="Arial" w:eastAsia="Arial" w:hAnsi="Arial"/>
                <w:b/>
                <w:bCs/>
                <w:i w:val="false"/>
                <w:iCs w:val="false"/>
                <w:color w:val="1F3864"/>
                <w:sz w:val="19"/>
                <w:szCs w:val="19"/>
              </w:rPr>
              <w:t xml:space="preserve">Declare Disaster</w:t>
            </w:r>
          </w:p>
        </w:tc>
        <w:tc>
          <w:tcPr>
            <w:tcW w:type="dxa" w:w="704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111111"/>
                <w:sz w:val="19"/>
                <w:szCs w:val="19"/>
              </w:rPr>
              <w:t xml:space="preserve">Incident Commander declares DR event when RTO is at risk or system-wide outage exceeds 30 minutes. Notify: CTO, Release Manager, Compliance Officer, DBA on-call. Open Zoom war-room bridge.</w:t>
            </w:r>
          </w:p>
        </w:tc>
      </w:tr>
      <w:tr>
        <w:tc>
          <w:tcPr>
            <w:tcW w:type="dxa" w:w="6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spacing w:before="0" w:after="100"/>
              <w:jc w:val="center"/>
            </w:pPr>
            <w:r>
              <w:rPr>
                <w:rFonts w:ascii="Arial" w:cs="Arial" w:eastAsia="Arial" w:hAnsi="Arial"/>
                <w:b/>
                <w:bCs/>
                <w:i w:val="false"/>
                <w:iCs w:val="false"/>
                <w:color w:val="FFFFFF"/>
                <w:sz w:val="20"/>
                <w:szCs w:val="20"/>
              </w:rPr>
              <w:t xml:space="preserve">2</w:t>
            </w:r>
          </w:p>
        </w:tc>
        <w:tc>
          <w:tcPr>
            <w:tcW w:type="dxa" w:w="2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spacing w:before="0" w:after="100"/>
              <w:jc w:val="left"/>
            </w:pPr>
            <w:r>
              <w:rPr>
                <w:rFonts w:ascii="Arial" w:cs="Arial" w:eastAsia="Arial" w:hAnsi="Arial"/>
                <w:b/>
                <w:bCs/>
                <w:i w:val="false"/>
                <w:iCs w:val="false"/>
                <w:color w:val="1F3864"/>
                <w:sz w:val="19"/>
                <w:szCs w:val="19"/>
              </w:rPr>
              <w:t xml:space="preserve">Activate DR Environment</w:t>
            </w:r>
          </w:p>
        </w:tc>
        <w:tc>
          <w:tcPr>
            <w:tcW w:type="dxa" w:w="704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111111"/>
                <w:sz w:val="19"/>
                <w:szCs w:val="19"/>
              </w:rPr>
              <w:t xml:space="preserve">Spin up pre-provisioned DR Kubernetes cluster in secondary IBM Cloud region (e.g., us-south → eu-gb). DNS failover via IBM Cloud Internet Services. Expected switchover: &lt; 20 minutes.</w:t>
            </w:r>
          </w:p>
        </w:tc>
      </w:tr>
      <w:tr>
        <w:tc>
          <w:tcPr>
            <w:tcW w:type="dxa" w:w="6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spacing w:before="0" w:after="100"/>
              <w:jc w:val="center"/>
            </w:pPr>
            <w:r>
              <w:rPr>
                <w:rFonts w:ascii="Arial" w:cs="Arial" w:eastAsia="Arial" w:hAnsi="Arial"/>
                <w:b/>
                <w:bCs/>
                <w:i w:val="false"/>
                <w:iCs w:val="false"/>
                <w:color w:val="FFFFFF"/>
                <w:sz w:val="20"/>
                <w:szCs w:val="20"/>
              </w:rPr>
              <w:t xml:space="preserve">3</w:t>
            </w:r>
          </w:p>
        </w:tc>
        <w:tc>
          <w:tcPr>
            <w:tcW w:type="dxa" w:w="2800"/>
            <w:tcBorders>
              <w:top w:val="single" w:color="CCCCCC" w:sz="2"/>
              <w:left w:val="single" w:color="CCCCCC" w:sz="2"/>
              <w:bottom w:val="single" w:color="CCCCCC" w:sz="2"/>
              <w:right w:val="single" w:color="CCCCCC" w:sz="2"/>
            </w:tcBorders>
            <w:shd w:fill="D6E4F0" w:val="clear"/>
            <w:tcMar>
              <w:top w:type="dxa" w:w="80"/>
              <w:left w:type="dxa" w:w="120"/>
              <w:bottom w:type="dxa" w:w="80"/>
              <w:right w:type="dxa" w:w="120"/>
            </w:tcMar>
            <w:vAlign w:val="center"/>
          </w:tcPr>
          <w:p>
            <w:pPr>
              <w:spacing w:before="0" w:after="100"/>
              <w:jc w:val="left"/>
            </w:pPr>
            <w:r>
              <w:rPr>
                <w:rFonts w:ascii="Arial" w:cs="Arial" w:eastAsia="Arial" w:hAnsi="Arial"/>
                <w:b/>
                <w:bCs/>
                <w:i w:val="false"/>
                <w:iCs w:val="false"/>
                <w:color w:val="1F3864"/>
                <w:sz w:val="19"/>
                <w:szCs w:val="19"/>
              </w:rPr>
              <w:t xml:space="preserve">Database Recovery</w:t>
            </w:r>
          </w:p>
        </w:tc>
        <w:tc>
          <w:tcPr>
            <w:tcW w:type="dxa" w:w="704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111111"/>
                <w:sz w:val="19"/>
                <w:szCs w:val="19"/>
              </w:rPr>
              <w:t xml:space="preserve">For PostgreSQL: promote hot standby replica in DR region to primary. Verify data consistency by comparing row counts on key tables (transactions, accounts, kyc_records). Run validation script: db-dr-validate.sh.</w:t>
            </w:r>
          </w:p>
        </w:tc>
      </w:tr>
      <w:tr>
        <w:tc>
          <w:tcPr>
            <w:tcW w:type="dxa" w:w="6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spacing w:before="0" w:after="100"/>
              <w:jc w:val="center"/>
            </w:pPr>
            <w:r>
              <w:rPr>
                <w:rFonts w:ascii="Arial" w:cs="Arial" w:eastAsia="Arial" w:hAnsi="Arial"/>
                <w:b/>
                <w:bCs/>
                <w:i w:val="false"/>
                <w:iCs w:val="false"/>
                <w:color w:val="FFFFFF"/>
                <w:sz w:val="20"/>
                <w:szCs w:val="20"/>
              </w:rPr>
              <w:t xml:space="preserve">4</w:t>
            </w:r>
          </w:p>
        </w:tc>
        <w:tc>
          <w:tcPr>
            <w:tcW w:type="dxa" w:w="2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spacing w:before="0" w:after="100"/>
              <w:jc w:val="left"/>
            </w:pPr>
            <w:r>
              <w:rPr>
                <w:rFonts w:ascii="Arial" w:cs="Arial" w:eastAsia="Arial" w:hAnsi="Arial"/>
                <w:b/>
                <w:bCs/>
                <w:i w:val="false"/>
                <w:iCs w:val="false"/>
                <w:color w:val="1F3864"/>
                <w:sz w:val="19"/>
                <w:szCs w:val="19"/>
              </w:rPr>
              <w:t xml:space="preserve">Kafka Recovery</w:t>
            </w:r>
          </w:p>
        </w:tc>
        <w:tc>
          <w:tcPr>
            <w:tcW w:type="dxa" w:w="704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111111"/>
                <w:sz w:val="19"/>
                <w:szCs w:val="19"/>
              </w:rPr>
              <w:t xml:space="preserve">Restore Kafka topics from latest 6-hour snapshot. Replay missing events from WAL-backed transaction log. Validate consumer group offsets are aligned. Expected data loss: &lt; 6 hours (RPO target met if &lt; 15 min).</w:t>
            </w:r>
          </w:p>
        </w:tc>
      </w:tr>
      <w:tr>
        <w:tc>
          <w:tcPr>
            <w:tcW w:type="dxa" w:w="6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spacing w:before="0" w:after="100"/>
              <w:jc w:val="center"/>
            </w:pPr>
            <w:r>
              <w:rPr>
                <w:rFonts w:ascii="Arial" w:cs="Arial" w:eastAsia="Arial" w:hAnsi="Arial"/>
                <w:b/>
                <w:bCs/>
                <w:i w:val="false"/>
                <w:iCs w:val="false"/>
                <w:color w:val="FFFFFF"/>
                <w:sz w:val="20"/>
                <w:szCs w:val="20"/>
              </w:rPr>
              <w:t xml:space="preserve">5</w:t>
            </w:r>
          </w:p>
        </w:tc>
        <w:tc>
          <w:tcPr>
            <w:tcW w:type="dxa" w:w="2800"/>
            <w:tcBorders>
              <w:top w:val="single" w:color="CCCCCC" w:sz="2"/>
              <w:left w:val="single" w:color="CCCCCC" w:sz="2"/>
              <w:bottom w:val="single" w:color="CCCCCC" w:sz="2"/>
              <w:right w:val="single" w:color="CCCCCC" w:sz="2"/>
            </w:tcBorders>
            <w:shd w:fill="D6E4F0" w:val="clear"/>
            <w:tcMar>
              <w:top w:type="dxa" w:w="80"/>
              <w:left w:type="dxa" w:w="120"/>
              <w:bottom w:type="dxa" w:w="80"/>
              <w:right w:type="dxa" w:w="120"/>
            </w:tcMar>
            <w:vAlign w:val="center"/>
          </w:tcPr>
          <w:p>
            <w:pPr>
              <w:spacing w:before="0" w:after="100"/>
              <w:jc w:val="left"/>
            </w:pPr>
            <w:r>
              <w:rPr>
                <w:rFonts w:ascii="Arial" w:cs="Arial" w:eastAsia="Arial" w:hAnsi="Arial"/>
                <w:b/>
                <w:bCs/>
                <w:i w:val="false"/>
                <w:iCs w:val="false"/>
                <w:color w:val="1F3864"/>
                <w:sz w:val="19"/>
                <w:szCs w:val="19"/>
              </w:rPr>
              <w:t xml:space="preserve">Service Health Check</w:t>
            </w:r>
          </w:p>
        </w:tc>
        <w:tc>
          <w:tcPr>
            <w:tcW w:type="dxa" w:w="704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111111"/>
                <w:sz w:val="19"/>
                <w:szCs w:val="19"/>
              </w:rPr>
              <w:t xml:space="preserve">Run synthetic test suite against DR environment endpoints. Validate: auth token issuance, KYC submission, loan eligibility call, fraud score return. All must return HTTP 200 before customer traffic is routed.</w:t>
            </w:r>
          </w:p>
        </w:tc>
      </w:tr>
      <w:tr>
        <w:tc>
          <w:tcPr>
            <w:tcW w:type="dxa" w:w="6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spacing w:before="0" w:after="100"/>
              <w:jc w:val="center"/>
            </w:pPr>
            <w:r>
              <w:rPr>
                <w:rFonts w:ascii="Arial" w:cs="Arial" w:eastAsia="Arial" w:hAnsi="Arial"/>
                <w:b/>
                <w:bCs/>
                <w:i w:val="false"/>
                <w:iCs w:val="false"/>
                <w:color w:val="FFFFFF"/>
                <w:sz w:val="20"/>
                <w:szCs w:val="20"/>
              </w:rPr>
              <w:t xml:space="preserve">6</w:t>
            </w:r>
          </w:p>
        </w:tc>
        <w:tc>
          <w:tcPr>
            <w:tcW w:type="dxa" w:w="2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spacing w:before="0" w:after="100"/>
              <w:jc w:val="left"/>
            </w:pPr>
            <w:r>
              <w:rPr>
                <w:rFonts w:ascii="Arial" w:cs="Arial" w:eastAsia="Arial" w:hAnsi="Arial"/>
                <w:b/>
                <w:bCs/>
                <w:i w:val="false"/>
                <w:iCs w:val="false"/>
                <w:color w:val="1F3864"/>
                <w:sz w:val="19"/>
                <w:szCs w:val="19"/>
              </w:rPr>
              <w:t xml:space="preserve">Traffic Cutover</w:t>
            </w:r>
          </w:p>
        </w:tc>
        <w:tc>
          <w:tcPr>
            <w:tcW w:type="dxa" w:w="704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111111"/>
                <w:sz w:val="19"/>
                <w:szCs w:val="19"/>
              </w:rPr>
              <w:t xml:space="preserve">Update DNS A records with 60-second TTL. Route 10% traffic to DR environment for 5 minutes. Monitor error rate and latency. If within SLA, route 100% traffic. Document cutover timestamp.</w:t>
            </w:r>
          </w:p>
        </w:tc>
      </w:tr>
      <w:tr>
        <w:tc>
          <w:tcPr>
            <w:tcW w:type="dxa" w:w="6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spacing w:before="0" w:after="100"/>
              <w:jc w:val="center"/>
            </w:pPr>
            <w:r>
              <w:rPr>
                <w:rFonts w:ascii="Arial" w:cs="Arial" w:eastAsia="Arial" w:hAnsi="Arial"/>
                <w:b/>
                <w:bCs/>
                <w:i w:val="false"/>
                <w:iCs w:val="false"/>
                <w:color w:val="FFFFFF"/>
                <w:sz w:val="20"/>
                <w:szCs w:val="20"/>
              </w:rPr>
              <w:t xml:space="preserve">7</w:t>
            </w:r>
          </w:p>
        </w:tc>
        <w:tc>
          <w:tcPr>
            <w:tcW w:type="dxa" w:w="2800"/>
            <w:tcBorders>
              <w:top w:val="single" w:color="CCCCCC" w:sz="2"/>
              <w:left w:val="single" w:color="CCCCCC" w:sz="2"/>
              <w:bottom w:val="single" w:color="CCCCCC" w:sz="2"/>
              <w:right w:val="single" w:color="CCCCCC" w:sz="2"/>
            </w:tcBorders>
            <w:shd w:fill="D6E4F0" w:val="clear"/>
            <w:tcMar>
              <w:top w:type="dxa" w:w="80"/>
              <w:left w:type="dxa" w:w="120"/>
              <w:bottom w:type="dxa" w:w="80"/>
              <w:right w:type="dxa" w:w="120"/>
            </w:tcMar>
            <w:vAlign w:val="center"/>
          </w:tcPr>
          <w:p>
            <w:pPr>
              <w:spacing w:before="0" w:after="100"/>
              <w:jc w:val="left"/>
            </w:pPr>
            <w:r>
              <w:rPr>
                <w:rFonts w:ascii="Arial" w:cs="Arial" w:eastAsia="Arial" w:hAnsi="Arial"/>
                <w:b/>
                <w:bCs/>
                <w:i w:val="false"/>
                <w:iCs w:val="false"/>
                <w:color w:val="1F3864"/>
                <w:sz w:val="19"/>
                <w:szCs w:val="19"/>
              </w:rPr>
              <w:t xml:space="preserve">Compliance Notification</w:t>
            </w:r>
          </w:p>
        </w:tc>
        <w:tc>
          <w:tcPr>
            <w:tcW w:type="dxa" w:w="704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111111"/>
                <w:sz w:val="19"/>
                <w:szCs w:val="19"/>
              </w:rPr>
              <w:t xml:space="preserve">File incident report with Compliance Officer within 1 hour of DR activation. Prepare regulatory notification for RBI / FFIEC if customer data or transactions were impacted. Retain all DR activation logs.</w:t>
            </w:r>
          </w:p>
        </w:tc>
      </w:tr>
      <w:tr>
        <w:tc>
          <w:tcPr>
            <w:tcW w:type="dxa" w:w="6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spacing w:before="0" w:after="100"/>
              <w:jc w:val="center"/>
            </w:pPr>
            <w:r>
              <w:rPr>
                <w:rFonts w:ascii="Arial" w:cs="Arial" w:eastAsia="Arial" w:hAnsi="Arial"/>
                <w:b/>
                <w:bCs/>
                <w:i w:val="false"/>
                <w:iCs w:val="false"/>
                <w:color w:val="FFFFFF"/>
                <w:sz w:val="20"/>
                <w:szCs w:val="20"/>
              </w:rPr>
              <w:t xml:space="preserve">8</w:t>
            </w:r>
          </w:p>
        </w:tc>
        <w:tc>
          <w:tcPr>
            <w:tcW w:type="dxa" w:w="2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pPr>
              <w:spacing w:before="0" w:after="100"/>
              <w:jc w:val="left"/>
            </w:pPr>
            <w:r>
              <w:rPr>
                <w:rFonts w:ascii="Arial" w:cs="Arial" w:eastAsia="Arial" w:hAnsi="Arial"/>
                <w:b/>
                <w:bCs/>
                <w:i w:val="false"/>
                <w:iCs w:val="false"/>
                <w:color w:val="1F3864"/>
                <w:sz w:val="19"/>
                <w:szCs w:val="19"/>
              </w:rPr>
              <w:t xml:space="preserve">Recovery &amp; Failback</w:t>
            </w:r>
          </w:p>
        </w:tc>
        <w:tc>
          <w:tcPr>
            <w:tcW w:type="dxa" w:w="704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111111"/>
                <w:sz w:val="19"/>
                <w:szCs w:val="19"/>
              </w:rPr>
              <w:t xml:space="preserve">Once primary region is restored: run smoke tests on primary. Sync any data written to DR back to primary via bidirectional replication. Failback during off-peak hours (01:00–04:00 UTC). Post-mortem within 48 hours.</w:t>
            </w:r>
          </w:p>
        </w:tc>
      </w:tr>
    </w:tbl>
    <w:p>
      <w:pPr>
        <w:spacing w:before="0" w:after="200"/>
      </w:pP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single" w:color="1F3864" w:sz="2"/>
              <w:left w:val="single" w:color="1F3864" w:sz="2"/>
              <w:bottom w:val="single" w:color="1F3864" w:sz="2"/>
              <w:right w:val="single" w:color="1F3864" w:sz="2"/>
            </w:tcBorders>
            <w:shd w:fill="1F3864" w:val="clear"/>
            <w:tcMar>
              <w:top w:type="dxa" w:w="140"/>
              <w:left w:type="dxa" w:w="240"/>
              <w:bottom w:type="dxa" w:w="140"/>
              <w:right w:type="dxa" w:w="240"/>
            </w:tcMar>
            <w:vAlign w:val="top"/>
          </w:tcPr>
          <w:p>
            <w:pPr>
              <w:spacing w:before="0" w:after="100"/>
              <w:jc w:val="left"/>
            </w:pPr>
            <w:r>
              <w:rPr>
                <w:rFonts w:ascii="Arial" w:cs="Arial" w:eastAsia="Arial" w:hAnsi="Arial"/>
                <w:b/>
                <w:bCs/>
                <w:i w:val="false"/>
                <w:iCs w:val="false"/>
                <w:color w:val="FFFFFF"/>
                <w:sz w:val="26"/>
                <w:szCs w:val="26"/>
              </w:rPr>
              <w:t xml:space="preserve">Task 4: Validation Checklist</w:t>
            </w:r>
          </w:p>
        </w:tc>
      </w:tr>
    </w:tbl>
    <w:p>
      <w:pPr>
        <w:spacing w:before="0" w:after="80"/>
      </w:pP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6040"/>
        <w:gridCol w:w="960"/>
        <w:gridCol w:w="3440"/>
      </w:tblGrid>
      <w:tr>
        <w:tc>
          <w:tcPr>
            <w:tcW w:type="dxa" w:w="6040"/>
            <w:tcBorders>
              <w:top w:val="single" w:color="1F3864" w:sz="2"/>
              <w:left w:val="single" w:color="1F3864" w:sz="2"/>
              <w:bottom w:val="single" w:color="1F3864" w:sz="2"/>
              <w:right w:val="single" w:color="1F3864" w:sz="2"/>
            </w:tcBorders>
            <w:shd w:fill="1F3864" w:val="clear"/>
            <w:tcMar>
              <w:top w:type="dxa" w:w="100"/>
              <w:left w:type="dxa" w:w="120"/>
              <w:bottom w:type="dxa" w:w="100"/>
              <w:right w:type="dxa" w:w="120"/>
            </w:tcMar>
            <w:vAlign w:val="top"/>
          </w:tcPr>
          <w:p>
            <w:pPr>
              <w:spacing w:before="0" w:after="100"/>
              <w:jc w:val="left"/>
            </w:pPr>
            <w:r>
              <w:rPr>
                <w:rFonts w:ascii="Arial" w:cs="Arial" w:eastAsia="Arial" w:hAnsi="Arial"/>
                <w:b/>
                <w:bCs/>
                <w:i w:val="false"/>
                <w:iCs w:val="false"/>
                <w:color w:val="FFFFFF"/>
                <w:sz w:val="20"/>
                <w:szCs w:val="20"/>
              </w:rPr>
              <w:t xml:space="preserve">Validation Item</w:t>
            </w:r>
          </w:p>
        </w:tc>
        <w:tc>
          <w:tcPr>
            <w:tcW w:type="dxa" w:w="960"/>
            <w:tcBorders>
              <w:top w:val="single" w:color="1F3864" w:sz="2"/>
              <w:left w:val="single" w:color="1F3864" w:sz="2"/>
              <w:bottom w:val="single" w:color="1F3864" w:sz="2"/>
              <w:right w:val="single" w:color="1F3864" w:sz="2"/>
            </w:tcBorders>
            <w:shd w:fill="1F3864" w:val="clear"/>
            <w:tcMar>
              <w:top w:type="dxa" w:w="100"/>
              <w:left w:type="dxa" w:w="120"/>
              <w:bottom w:type="dxa" w:w="100"/>
              <w:right w:type="dxa" w:w="120"/>
            </w:tcMar>
            <w:vAlign w:val="top"/>
          </w:tcPr>
          <w:p>
            <w:pPr>
              <w:spacing w:before="0" w:after="100"/>
              <w:jc w:val="center"/>
            </w:pPr>
            <w:r>
              <w:rPr>
                <w:rFonts w:ascii="Arial" w:cs="Arial" w:eastAsia="Arial" w:hAnsi="Arial"/>
                <w:b/>
                <w:bCs/>
                <w:i w:val="false"/>
                <w:iCs w:val="false"/>
                <w:color w:val="FFFFFF"/>
                <w:sz w:val="20"/>
                <w:szCs w:val="20"/>
              </w:rPr>
              <w:t xml:space="preserve">Yes / No</w:t>
            </w:r>
          </w:p>
        </w:tc>
        <w:tc>
          <w:tcPr>
            <w:tcW w:type="dxa" w:w="3440"/>
            <w:tcBorders>
              <w:top w:val="single" w:color="1F3864" w:sz="2"/>
              <w:left w:val="single" w:color="1F3864" w:sz="2"/>
              <w:bottom w:val="single" w:color="1F3864" w:sz="2"/>
              <w:right w:val="single" w:color="1F3864" w:sz="2"/>
            </w:tcBorders>
            <w:shd w:fill="1F3864" w:val="clear"/>
            <w:tcMar>
              <w:top w:type="dxa" w:w="100"/>
              <w:left w:type="dxa" w:w="120"/>
              <w:bottom w:type="dxa" w:w="100"/>
              <w:right w:type="dxa" w:w="120"/>
            </w:tcMar>
            <w:vAlign w:val="top"/>
          </w:tcPr>
          <w:p>
            <w:pPr>
              <w:spacing w:before="0" w:after="100"/>
              <w:jc w:val="left"/>
            </w:pPr>
            <w:r>
              <w:rPr>
                <w:rFonts w:ascii="Arial" w:cs="Arial" w:eastAsia="Arial" w:hAnsi="Arial"/>
                <w:b/>
                <w:bCs/>
                <w:i w:val="false"/>
                <w:iCs w:val="false"/>
                <w:color w:val="FFFFFF"/>
                <w:sz w:val="20"/>
                <w:szCs w:val="20"/>
              </w:rPr>
              <w:t xml:space="preserve">Evidence</w:t>
            </w:r>
          </w:p>
        </w:tc>
      </w:tr>
      <w:tr>
        <w:tc>
          <w:tcPr>
            <w:tcW w:type="dxa" w:w="604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111111"/>
                <w:sz w:val="19"/>
                <w:szCs w:val="19"/>
              </w:rPr>
              <w:t xml:space="preserve">Pipeline includes all CI/CD stages (commit → build → security → test → staging → approval → deploy → rollback → audit)</w:t>
            </w:r>
          </w:p>
        </w:tc>
        <w:tc>
          <w:tcPr>
            <w:tcW w:type="dxa" w:w="960"/>
            <w:tcBorders>
              <w:top w:val="single" w:color="D5F5E3" w:sz="2"/>
              <w:left w:val="single" w:color="D5F5E3" w:sz="2"/>
              <w:bottom w:val="single" w:color="D5F5E3" w:sz="2"/>
              <w:right w:val="single" w:color="D5F5E3" w:sz="2"/>
            </w:tcBorders>
            <w:shd w:fill="D5F5E3" w:val="clear"/>
            <w:tcMar>
              <w:top w:type="dxa" w:w="80"/>
              <w:left w:type="dxa" w:w="120"/>
              <w:bottom w:type="dxa" w:w="80"/>
              <w:right w:type="dxa" w:w="120"/>
            </w:tcMar>
            <w:vAlign w:val="center"/>
          </w:tcPr>
          <w:p>
            <w:pPr>
              <w:spacing w:before="0" w:after="100"/>
              <w:jc w:val="center"/>
            </w:pPr>
            <w:r>
              <w:rPr>
                <w:rFonts w:ascii="Arial" w:cs="Arial" w:eastAsia="Arial" w:hAnsi="Arial"/>
                <w:b/>
                <w:bCs/>
                <w:i w:val="false"/>
                <w:iCs w:val="false"/>
                <w:color w:val="1E8449"/>
                <w:sz w:val="19"/>
                <w:szCs w:val="19"/>
              </w:rPr>
              <w:t xml:space="preserve">Yes</w:t>
            </w:r>
          </w:p>
        </w:tc>
        <w:tc>
          <w:tcPr>
            <w:tcW w:type="dxa" w:w="344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iCs/>
                <w:color w:val="555555"/>
                <w:sz w:val="18"/>
                <w:szCs w:val="18"/>
              </w:rPr>
              <w:t xml:space="preserve">9 stages documented with roles, tools, and control points</w:t>
            </w:r>
          </w:p>
        </w:tc>
      </w:tr>
      <w:tr>
        <w:tc>
          <w:tcPr>
            <w:tcW w:type="dxa" w:w="604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111111"/>
                <w:sz w:val="19"/>
                <w:szCs w:val="19"/>
              </w:rPr>
              <w:t xml:space="preserve">Security gates included (SAST scan, container image scan, dependency check)</w:t>
            </w:r>
          </w:p>
        </w:tc>
        <w:tc>
          <w:tcPr>
            <w:tcW w:type="dxa" w:w="960"/>
            <w:tcBorders>
              <w:top w:val="single" w:color="D5F5E3" w:sz="2"/>
              <w:left w:val="single" w:color="D5F5E3" w:sz="2"/>
              <w:bottom w:val="single" w:color="D5F5E3" w:sz="2"/>
              <w:right w:val="single" w:color="D5F5E3" w:sz="2"/>
            </w:tcBorders>
            <w:shd w:fill="D5F5E3" w:val="clear"/>
            <w:tcMar>
              <w:top w:type="dxa" w:w="80"/>
              <w:left w:type="dxa" w:w="120"/>
              <w:bottom w:type="dxa" w:w="80"/>
              <w:right w:type="dxa" w:w="120"/>
            </w:tcMar>
            <w:vAlign w:val="center"/>
          </w:tcPr>
          <w:p>
            <w:pPr>
              <w:spacing w:before="0" w:after="100"/>
              <w:jc w:val="center"/>
            </w:pPr>
            <w:r>
              <w:rPr>
                <w:rFonts w:ascii="Arial" w:cs="Arial" w:eastAsia="Arial" w:hAnsi="Arial"/>
                <w:b/>
                <w:bCs/>
                <w:i w:val="false"/>
                <w:iCs w:val="false"/>
                <w:color w:val="1E8449"/>
                <w:sz w:val="19"/>
                <w:szCs w:val="19"/>
              </w:rPr>
              <w:t xml:space="preserve">Yes</w:t>
            </w:r>
          </w:p>
        </w:tc>
        <w:tc>
          <w:tcPr>
            <w:tcW w:type="dxa" w:w="344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iCs/>
                <w:color w:val="555555"/>
                <w:sz w:val="18"/>
                <w:szCs w:val="18"/>
              </w:rPr>
              <w:t xml:space="preserve">Stage 3: SonarQube SAST, Trivy image scan, OWASP dependency check</w:t>
            </w:r>
          </w:p>
        </w:tc>
      </w:tr>
      <w:tr>
        <w:tc>
          <w:tcPr>
            <w:tcW w:type="dxa" w:w="604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111111"/>
                <w:sz w:val="19"/>
                <w:szCs w:val="19"/>
              </w:rPr>
              <w:t xml:space="preserve">Roles assigned for each stage</w:t>
            </w:r>
          </w:p>
        </w:tc>
        <w:tc>
          <w:tcPr>
            <w:tcW w:type="dxa" w:w="960"/>
            <w:tcBorders>
              <w:top w:val="single" w:color="D5F5E3" w:sz="2"/>
              <w:left w:val="single" w:color="D5F5E3" w:sz="2"/>
              <w:bottom w:val="single" w:color="D5F5E3" w:sz="2"/>
              <w:right w:val="single" w:color="D5F5E3" w:sz="2"/>
            </w:tcBorders>
            <w:shd w:fill="D5F5E3" w:val="clear"/>
            <w:tcMar>
              <w:top w:type="dxa" w:w="80"/>
              <w:left w:type="dxa" w:w="120"/>
              <w:bottom w:type="dxa" w:w="80"/>
              <w:right w:type="dxa" w:w="120"/>
            </w:tcMar>
            <w:vAlign w:val="center"/>
          </w:tcPr>
          <w:p>
            <w:pPr>
              <w:spacing w:before="0" w:after="100"/>
              <w:jc w:val="center"/>
            </w:pPr>
            <w:r>
              <w:rPr>
                <w:rFonts w:ascii="Arial" w:cs="Arial" w:eastAsia="Arial" w:hAnsi="Arial"/>
                <w:b/>
                <w:bCs/>
                <w:i w:val="false"/>
                <w:iCs w:val="false"/>
                <w:color w:val="1E8449"/>
                <w:sz w:val="19"/>
                <w:szCs w:val="19"/>
              </w:rPr>
              <w:t xml:space="preserve">Yes</w:t>
            </w:r>
          </w:p>
        </w:tc>
        <w:tc>
          <w:tcPr>
            <w:tcW w:type="dxa" w:w="344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iCs/>
                <w:color w:val="555555"/>
                <w:sz w:val="18"/>
                <w:szCs w:val="18"/>
              </w:rPr>
              <w:t xml:space="preserve">All 9 stages have named responsible roles in the roles table</w:t>
            </w:r>
          </w:p>
        </w:tc>
      </w:tr>
      <w:tr>
        <w:tc>
          <w:tcPr>
            <w:tcW w:type="dxa" w:w="604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111111"/>
                <w:sz w:val="19"/>
                <w:szCs w:val="19"/>
              </w:rPr>
              <w:t xml:space="preserve">Rollback strategy documented (triggers, traffic re-routing, automated revert)</w:t>
            </w:r>
          </w:p>
        </w:tc>
        <w:tc>
          <w:tcPr>
            <w:tcW w:type="dxa" w:w="960"/>
            <w:tcBorders>
              <w:top w:val="single" w:color="D5F5E3" w:sz="2"/>
              <w:left w:val="single" w:color="D5F5E3" w:sz="2"/>
              <w:bottom w:val="single" w:color="D5F5E3" w:sz="2"/>
              <w:right w:val="single" w:color="D5F5E3" w:sz="2"/>
            </w:tcBorders>
            <w:shd w:fill="D5F5E3" w:val="clear"/>
            <w:tcMar>
              <w:top w:type="dxa" w:w="80"/>
              <w:left w:type="dxa" w:w="120"/>
              <w:bottom w:type="dxa" w:w="80"/>
              <w:right w:type="dxa" w:w="120"/>
            </w:tcMar>
            <w:vAlign w:val="center"/>
          </w:tcPr>
          <w:p>
            <w:pPr>
              <w:spacing w:before="0" w:after="100"/>
              <w:jc w:val="center"/>
            </w:pPr>
            <w:r>
              <w:rPr>
                <w:rFonts w:ascii="Arial" w:cs="Arial" w:eastAsia="Arial" w:hAnsi="Arial"/>
                <w:b/>
                <w:bCs/>
                <w:i w:val="false"/>
                <w:iCs w:val="false"/>
                <w:color w:val="1E8449"/>
                <w:sz w:val="19"/>
                <w:szCs w:val="19"/>
              </w:rPr>
              <w:t xml:space="preserve">Yes</w:t>
            </w:r>
          </w:p>
        </w:tc>
        <w:tc>
          <w:tcPr>
            <w:tcW w:type="dxa" w:w="344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iCs/>
                <w:color w:val="555555"/>
                <w:sz w:val="18"/>
                <w:szCs w:val="18"/>
              </w:rPr>
              <w:t xml:space="preserve">Stage 8 + Risk Strategy table: 5 risks with explicit rollback plans</w:t>
            </w:r>
          </w:p>
        </w:tc>
      </w:tr>
      <w:tr>
        <w:tc>
          <w:tcPr>
            <w:tcW w:type="dxa" w:w="604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111111"/>
                <w:sz w:val="19"/>
                <w:szCs w:val="19"/>
              </w:rPr>
              <w:t xml:space="preserve">KPIs have thresholds and alerts (latency, availability, throughput, error rate)</w:t>
            </w:r>
          </w:p>
        </w:tc>
        <w:tc>
          <w:tcPr>
            <w:tcW w:type="dxa" w:w="960"/>
            <w:tcBorders>
              <w:top w:val="single" w:color="D5F5E3" w:sz="2"/>
              <w:left w:val="single" w:color="D5F5E3" w:sz="2"/>
              <w:bottom w:val="single" w:color="D5F5E3" w:sz="2"/>
              <w:right w:val="single" w:color="D5F5E3" w:sz="2"/>
            </w:tcBorders>
            <w:shd w:fill="D5F5E3" w:val="clear"/>
            <w:tcMar>
              <w:top w:type="dxa" w:w="80"/>
              <w:left w:type="dxa" w:w="120"/>
              <w:bottom w:type="dxa" w:w="80"/>
              <w:right w:type="dxa" w:w="120"/>
            </w:tcMar>
            <w:vAlign w:val="center"/>
          </w:tcPr>
          <w:p>
            <w:pPr>
              <w:spacing w:before="0" w:after="100"/>
              <w:jc w:val="center"/>
            </w:pPr>
            <w:r>
              <w:rPr>
                <w:rFonts w:ascii="Arial" w:cs="Arial" w:eastAsia="Arial" w:hAnsi="Arial"/>
                <w:b/>
                <w:bCs/>
                <w:i w:val="false"/>
                <w:iCs w:val="false"/>
                <w:color w:val="1E8449"/>
                <w:sz w:val="19"/>
                <w:szCs w:val="19"/>
              </w:rPr>
              <w:t xml:space="preserve">Yes</w:t>
            </w:r>
          </w:p>
        </w:tc>
        <w:tc>
          <w:tcPr>
            <w:tcW w:type="dxa" w:w="344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iCs/>
                <w:color w:val="555555"/>
                <w:sz w:val="18"/>
                <w:szCs w:val="18"/>
              </w:rPr>
              <w:t xml:space="preserve">6 KPIs defined with thresholds, triggers, severity, and notification channels</w:t>
            </w:r>
          </w:p>
        </w:tc>
      </w:tr>
      <w:tr>
        <w:tc>
          <w:tcPr>
            <w:tcW w:type="dxa" w:w="604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111111"/>
                <w:sz w:val="19"/>
                <w:szCs w:val="19"/>
              </w:rPr>
              <w:t xml:space="preserve">Escalation path defined (L1 → L4 with response times)</w:t>
            </w:r>
          </w:p>
        </w:tc>
        <w:tc>
          <w:tcPr>
            <w:tcW w:type="dxa" w:w="960"/>
            <w:tcBorders>
              <w:top w:val="single" w:color="D5F5E3" w:sz="2"/>
              <w:left w:val="single" w:color="D5F5E3" w:sz="2"/>
              <w:bottom w:val="single" w:color="D5F5E3" w:sz="2"/>
              <w:right w:val="single" w:color="D5F5E3" w:sz="2"/>
            </w:tcBorders>
            <w:shd w:fill="D5F5E3" w:val="clear"/>
            <w:tcMar>
              <w:top w:type="dxa" w:w="80"/>
              <w:left w:type="dxa" w:w="120"/>
              <w:bottom w:type="dxa" w:w="80"/>
              <w:right w:type="dxa" w:w="120"/>
            </w:tcMar>
            <w:vAlign w:val="center"/>
          </w:tcPr>
          <w:p>
            <w:pPr>
              <w:spacing w:before="0" w:after="100"/>
              <w:jc w:val="center"/>
            </w:pPr>
            <w:r>
              <w:rPr>
                <w:rFonts w:ascii="Arial" w:cs="Arial" w:eastAsia="Arial" w:hAnsi="Arial"/>
                <w:b/>
                <w:bCs/>
                <w:i w:val="false"/>
                <w:iCs w:val="false"/>
                <w:color w:val="1E8449"/>
                <w:sz w:val="19"/>
                <w:szCs w:val="19"/>
              </w:rPr>
              <w:t xml:space="preserve">Yes</w:t>
            </w:r>
          </w:p>
        </w:tc>
        <w:tc>
          <w:tcPr>
            <w:tcW w:type="dxa" w:w="344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iCs/>
                <w:color w:val="555555"/>
                <w:sz w:val="18"/>
                <w:szCs w:val="18"/>
              </w:rPr>
              <w:t xml:space="preserve">4-level escalation: Alert → Incident → Critical → Executive</w:t>
            </w:r>
          </w:p>
        </w:tc>
      </w:tr>
      <w:tr>
        <w:tc>
          <w:tcPr>
            <w:tcW w:type="dxa" w:w="604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111111"/>
                <w:sz w:val="19"/>
                <w:szCs w:val="19"/>
              </w:rPr>
              <w:t xml:space="preserve">Monitoring covers compliance and uptime (PCI-DSS audit logging, AML monitoring)</w:t>
            </w:r>
          </w:p>
        </w:tc>
        <w:tc>
          <w:tcPr>
            <w:tcW w:type="dxa" w:w="960"/>
            <w:tcBorders>
              <w:top w:val="single" w:color="D5F5E3" w:sz="2"/>
              <w:left w:val="single" w:color="D5F5E3" w:sz="2"/>
              <w:bottom w:val="single" w:color="D5F5E3" w:sz="2"/>
              <w:right w:val="single" w:color="D5F5E3" w:sz="2"/>
            </w:tcBorders>
            <w:shd w:fill="D5F5E3" w:val="clear"/>
            <w:tcMar>
              <w:top w:type="dxa" w:w="80"/>
              <w:left w:type="dxa" w:w="120"/>
              <w:bottom w:type="dxa" w:w="80"/>
              <w:right w:type="dxa" w:w="120"/>
            </w:tcMar>
            <w:vAlign w:val="center"/>
          </w:tcPr>
          <w:p>
            <w:pPr>
              <w:spacing w:before="0" w:after="100"/>
              <w:jc w:val="center"/>
            </w:pPr>
            <w:r>
              <w:rPr>
                <w:rFonts w:ascii="Arial" w:cs="Arial" w:eastAsia="Arial" w:hAnsi="Arial"/>
                <w:b/>
                <w:bCs/>
                <w:i w:val="false"/>
                <w:iCs w:val="false"/>
                <w:color w:val="1E8449"/>
                <w:sz w:val="19"/>
                <w:szCs w:val="19"/>
              </w:rPr>
              <w:t xml:space="preserve">Yes</w:t>
            </w:r>
          </w:p>
        </w:tc>
        <w:tc>
          <w:tcPr>
            <w:tcW w:type="dxa" w:w="344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iCs/>
                <w:color w:val="555555"/>
                <w:sz w:val="18"/>
                <w:szCs w:val="18"/>
              </w:rPr>
              <w:t xml:space="preserve">KPI #6: DB replication; Audit &amp; Compliance Logging stage; post-mortem compliance reporting</w:t>
            </w:r>
          </w:p>
        </w:tc>
      </w:tr>
      <w:tr>
        <w:tc>
          <w:tcPr>
            <w:tcW w:type="dxa" w:w="604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111111"/>
                <w:sz w:val="19"/>
                <w:szCs w:val="19"/>
              </w:rPr>
              <w:t xml:space="preserve">Database configuration guide included (PostgreSQL)</w:t>
            </w:r>
          </w:p>
        </w:tc>
        <w:tc>
          <w:tcPr>
            <w:tcW w:type="dxa" w:w="960"/>
            <w:tcBorders>
              <w:top w:val="single" w:color="D5F5E3" w:sz="2"/>
              <w:left w:val="single" w:color="D5F5E3" w:sz="2"/>
              <w:bottom w:val="single" w:color="D5F5E3" w:sz="2"/>
              <w:right w:val="single" w:color="D5F5E3" w:sz="2"/>
            </w:tcBorders>
            <w:shd w:fill="D5F5E3" w:val="clear"/>
            <w:tcMar>
              <w:top w:type="dxa" w:w="80"/>
              <w:left w:type="dxa" w:w="120"/>
              <w:bottom w:type="dxa" w:w="80"/>
              <w:right w:type="dxa" w:w="120"/>
            </w:tcMar>
            <w:vAlign w:val="center"/>
          </w:tcPr>
          <w:p>
            <w:pPr>
              <w:spacing w:before="0" w:after="100"/>
              <w:jc w:val="center"/>
            </w:pPr>
            <w:r>
              <w:rPr>
                <w:rFonts w:ascii="Arial" w:cs="Arial" w:eastAsia="Arial" w:hAnsi="Arial"/>
                <w:b/>
                <w:bCs/>
                <w:i w:val="false"/>
                <w:iCs w:val="false"/>
                <w:color w:val="1E8449"/>
                <w:sz w:val="19"/>
                <w:szCs w:val="19"/>
              </w:rPr>
              <w:t xml:space="preserve">Yes</w:t>
            </w:r>
          </w:p>
        </w:tc>
        <w:tc>
          <w:tcPr>
            <w:tcW w:type="dxa" w:w="344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iCs/>
                <w:color w:val="555555"/>
                <w:sz w:val="18"/>
                <w:szCs w:val="18"/>
              </w:rPr>
              <w:t xml:space="preserve">Section A1: 6 config areas + postgresql.conf snippet</w:t>
            </w:r>
          </w:p>
        </w:tc>
      </w:tr>
      <w:tr>
        <w:tc>
          <w:tcPr>
            <w:tcW w:type="dxa" w:w="604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111111"/>
                <w:sz w:val="19"/>
                <w:szCs w:val="19"/>
              </w:rPr>
              <w:t xml:space="preserve">API Gateway configuration guide included (Kong / NGINX)</w:t>
            </w:r>
          </w:p>
        </w:tc>
        <w:tc>
          <w:tcPr>
            <w:tcW w:type="dxa" w:w="960"/>
            <w:tcBorders>
              <w:top w:val="single" w:color="D5F5E3" w:sz="2"/>
              <w:left w:val="single" w:color="D5F5E3" w:sz="2"/>
              <w:bottom w:val="single" w:color="D5F5E3" w:sz="2"/>
              <w:right w:val="single" w:color="D5F5E3" w:sz="2"/>
            </w:tcBorders>
            <w:shd w:fill="D5F5E3" w:val="clear"/>
            <w:tcMar>
              <w:top w:type="dxa" w:w="80"/>
              <w:left w:type="dxa" w:w="120"/>
              <w:bottom w:type="dxa" w:w="80"/>
              <w:right w:type="dxa" w:w="120"/>
            </w:tcMar>
            <w:vAlign w:val="center"/>
          </w:tcPr>
          <w:p>
            <w:pPr>
              <w:spacing w:before="0" w:after="100"/>
              <w:jc w:val="center"/>
            </w:pPr>
            <w:r>
              <w:rPr>
                <w:rFonts w:ascii="Arial" w:cs="Arial" w:eastAsia="Arial" w:hAnsi="Arial"/>
                <w:b/>
                <w:bCs/>
                <w:i w:val="false"/>
                <w:iCs w:val="false"/>
                <w:color w:val="1E8449"/>
                <w:sz w:val="19"/>
                <w:szCs w:val="19"/>
              </w:rPr>
              <w:t xml:space="preserve">Yes</w:t>
            </w:r>
          </w:p>
        </w:tc>
        <w:tc>
          <w:tcPr>
            <w:tcW w:type="dxa" w:w="344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iCs/>
                <w:color w:val="555555"/>
                <w:sz w:val="18"/>
                <w:szCs w:val="18"/>
              </w:rPr>
              <w:t xml:space="preserve">Section A2: 6 config areas + kong.yml declarative config snippet</w:t>
            </w:r>
          </w:p>
        </w:tc>
      </w:tr>
      <w:tr>
        <w:tc>
          <w:tcPr>
            <w:tcW w:type="dxa" w:w="604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111111"/>
                <w:sz w:val="19"/>
                <w:szCs w:val="19"/>
              </w:rPr>
              <w:t xml:space="preserve">CI/CD component configuration guide included (Jenkins / GitHub Actions)</w:t>
            </w:r>
          </w:p>
        </w:tc>
        <w:tc>
          <w:tcPr>
            <w:tcW w:type="dxa" w:w="960"/>
            <w:tcBorders>
              <w:top w:val="single" w:color="D5F5E3" w:sz="2"/>
              <w:left w:val="single" w:color="D5F5E3" w:sz="2"/>
              <w:bottom w:val="single" w:color="D5F5E3" w:sz="2"/>
              <w:right w:val="single" w:color="D5F5E3" w:sz="2"/>
            </w:tcBorders>
            <w:shd w:fill="D5F5E3" w:val="clear"/>
            <w:tcMar>
              <w:top w:type="dxa" w:w="80"/>
              <w:left w:type="dxa" w:w="120"/>
              <w:bottom w:type="dxa" w:w="80"/>
              <w:right w:type="dxa" w:w="120"/>
            </w:tcMar>
            <w:vAlign w:val="center"/>
          </w:tcPr>
          <w:p>
            <w:pPr>
              <w:spacing w:before="0" w:after="100"/>
              <w:jc w:val="center"/>
            </w:pPr>
            <w:r>
              <w:rPr>
                <w:rFonts w:ascii="Arial" w:cs="Arial" w:eastAsia="Arial" w:hAnsi="Arial"/>
                <w:b/>
                <w:bCs/>
                <w:i w:val="false"/>
                <w:iCs w:val="false"/>
                <w:color w:val="1E8449"/>
                <w:sz w:val="19"/>
                <w:szCs w:val="19"/>
              </w:rPr>
              <w:t xml:space="preserve">Yes</w:t>
            </w:r>
          </w:p>
        </w:tc>
        <w:tc>
          <w:tcPr>
            <w:tcW w:type="dxa" w:w="344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iCs/>
                <w:color w:val="555555"/>
                <w:sz w:val="18"/>
                <w:szCs w:val="18"/>
              </w:rPr>
              <w:t xml:space="preserve">Section A3: 6 config areas + GitHub Actions workflow YAML snippet</w:t>
            </w:r>
          </w:p>
        </w:tc>
      </w:tr>
      <w:tr>
        <w:tc>
          <w:tcPr>
            <w:tcW w:type="dxa" w:w="604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111111"/>
                <w:sz w:val="19"/>
                <w:szCs w:val="19"/>
              </w:rPr>
              <w:t xml:space="preserve">Backup and Disaster Recovery Plan included</w:t>
            </w:r>
          </w:p>
        </w:tc>
        <w:tc>
          <w:tcPr>
            <w:tcW w:type="dxa" w:w="960"/>
            <w:tcBorders>
              <w:top w:val="single" w:color="D5F5E3" w:sz="2"/>
              <w:left w:val="single" w:color="D5F5E3" w:sz="2"/>
              <w:bottom w:val="single" w:color="D5F5E3" w:sz="2"/>
              <w:right w:val="single" w:color="D5F5E3" w:sz="2"/>
            </w:tcBorders>
            <w:shd w:fill="D5F5E3" w:val="clear"/>
            <w:tcMar>
              <w:top w:type="dxa" w:w="80"/>
              <w:left w:type="dxa" w:w="120"/>
              <w:bottom w:type="dxa" w:w="80"/>
              <w:right w:type="dxa" w:w="120"/>
            </w:tcMar>
            <w:vAlign w:val="center"/>
          </w:tcPr>
          <w:p>
            <w:pPr>
              <w:spacing w:before="0" w:after="100"/>
              <w:jc w:val="center"/>
            </w:pPr>
            <w:r>
              <w:rPr>
                <w:rFonts w:ascii="Arial" w:cs="Arial" w:eastAsia="Arial" w:hAnsi="Arial"/>
                <w:b/>
                <w:bCs/>
                <w:i w:val="false"/>
                <w:iCs w:val="false"/>
                <w:color w:val="1E8449"/>
                <w:sz w:val="19"/>
                <w:szCs w:val="19"/>
              </w:rPr>
              <w:t xml:space="preserve">Yes</w:t>
            </w:r>
          </w:p>
        </w:tc>
        <w:tc>
          <w:tcPr>
            <w:tcW w:type="dxa" w:w="344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iCs/>
                <w:color w:val="555555"/>
                <w:sz w:val="18"/>
                <w:szCs w:val="18"/>
              </w:rPr>
              <w:t xml:space="preserve">Section B: RTO/RPO targets, backup schedule, 8-step DR procedure</w:t>
            </w:r>
          </w:p>
        </w:tc>
      </w:tr>
      <w:tr>
        <w:tc>
          <w:tcPr>
            <w:tcW w:type="dxa" w:w="604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val="false"/>
                <w:iCs w:val="false"/>
                <w:color w:val="111111"/>
                <w:sz w:val="19"/>
                <w:szCs w:val="19"/>
              </w:rPr>
              <w:t xml:space="preserve">CI/CD Pipeline diagram created and saved as PNG</w:t>
            </w:r>
          </w:p>
        </w:tc>
        <w:tc>
          <w:tcPr>
            <w:tcW w:type="dxa" w:w="960"/>
            <w:tcBorders>
              <w:top w:val="single" w:color="D5F5E3" w:sz="2"/>
              <w:left w:val="single" w:color="D5F5E3" w:sz="2"/>
              <w:bottom w:val="single" w:color="D5F5E3" w:sz="2"/>
              <w:right w:val="single" w:color="D5F5E3" w:sz="2"/>
            </w:tcBorders>
            <w:shd w:fill="D5F5E3" w:val="clear"/>
            <w:tcMar>
              <w:top w:type="dxa" w:w="80"/>
              <w:left w:type="dxa" w:w="120"/>
              <w:bottom w:type="dxa" w:w="80"/>
              <w:right w:type="dxa" w:w="120"/>
            </w:tcMar>
            <w:vAlign w:val="center"/>
          </w:tcPr>
          <w:p>
            <w:pPr>
              <w:spacing w:before="0" w:after="100"/>
              <w:jc w:val="center"/>
            </w:pPr>
            <w:r>
              <w:rPr>
                <w:rFonts w:ascii="Arial" w:cs="Arial" w:eastAsia="Arial" w:hAnsi="Arial"/>
                <w:b/>
                <w:bCs/>
                <w:i w:val="false"/>
                <w:iCs w:val="false"/>
                <w:color w:val="1E8449"/>
                <w:sz w:val="19"/>
                <w:szCs w:val="19"/>
              </w:rPr>
              <w:t xml:space="preserve">Yes</w:t>
            </w:r>
          </w:p>
        </w:tc>
        <w:tc>
          <w:tcPr>
            <w:tcW w:type="dxa" w:w="344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vAlign w:val="top"/>
          </w:tcPr>
          <w:p>
            <w:pPr>
              <w:spacing w:before="0" w:after="100"/>
              <w:jc w:val="left"/>
            </w:pPr>
            <w:r>
              <w:rPr>
                <w:rFonts w:ascii="Arial" w:cs="Arial" w:eastAsia="Arial" w:hAnsi="Arial"/>
                <w:b w:val="false"/>
                <w:bCs w:val="false"/>
                <w:i/>
                <w:iCs/>
                <w:color w:val="555555"/>
                <w:sz w:val="18"/>
                <w:szCs w:val="18"/>
              </w:rPr>
              <w:t xml:space="preserve">CICD_pipeline.png — 9-stage colour-coded diagram with roles and legend</w:t>
            </w:r>
          </w:p>
        </w:tc>
      </w:tr>
    </w:tbl>
    <w:p>
      <w:pPr>
        <w:spacing w:before="0" w:after="120"/>
      </w:pP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single" w:color="2E75B6" w:sz="6"/>
              <w:left w:val="none" w:color="FFFFFF" w:sz="0"/>
              <w:bottom w:val="none" w:color="FFFFFF" w:sz="0"/>
              <w:right w:val="none" w:color="FFFFFF" w:sz="0"/>
            </w:tcBorders>
            <w:shd w:fill="FFFFFF" w:val="clear"/>
            <w:tcMar>
              <w:top w:type="dxa" w:w="80"/>
              <w:left w:type="dxa" w:w="0"/>
              <w:bottom w:type="dxa" w:w="0"/>
              <w:right w:type="dxa" w:w="0"/>
            </w:tcMar>
            <w:vAlign w:val="top"/>
          </w:tcPr>
          <w:p>
            <w:pPr>
              <w:spacing w:before="0" w:after="100"/>
              <w:jc w:val="left"/>
            </w:pPr>
            <w:r>
              <w:rPr>
                <w:rFonts w:ascii="Arial" w:cs="Arial" w:eastAsia="Arial" w:hAnsi="Arial"/>
                <w:b w:val="false"/>
                <w:bCs w:val="false"/>
                <w:i/>
                <w:iCs/>
                <w:color w:val="888888"/>
                <w:sz w:val="17"/>
                <w:szCs w:val="17"/>
              </w:rPr>
              <w:t xml:space="preserve">Core Digital Transformation for Retail Banking  ·  CI/CD Pipeline &amp; Monitoring Strategy  ·  Confidential  ·  v1.0  ·  February 18, 2026</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620cba2e18bf78a10167926aed80af020b97cc4e.png"/><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2026-02-18T12:45:41.565Z</dcterms:created>
  <dcterms:modified xsi:type="dcterms:W3CDTF">2026-02-18T12:45:41.566Z</dcterms:modified>
</cp:coreProperties>
</file>

<file path=docProps/custom.xml><?xml version="1.0" encoding="utf-8"?>
<Properties xmlns="http://schemas.openxmlformats.org/officeDocument/2006/custom-properties" xmlns:vt="http://schemas.openxmlformats.org/officeDocument/2006/docPropsVTypes"/>
</file>