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771F" w:rsidRDefault="00ED0370">
      <w:pPr>
        <w:rPr>
          <w:sz w:val="28"/>
          <w:szCs w:val="28"/>
        </w:rPr>
      </w:pPr>
      <w:r w:rsidRPr="00ED0370">
        <w:rPr>
          <w:sz w:val="28"/>
          <w:szCs w:val="28"/>
        </w:rPr>
        <w:t>Scope</w:t>
      </w:r>
    </w:p>
    <w:p w:rsidR="00ED0370" w:rsidRDefault="009948F0">
      <w:pPr>
        <w:rPr>
          <w:sz w:val="28"/>
          <w:szCs w:val="28"/>
        </w:rPr>
      </w:pPr>
      <w:r w:rsidRPr="009948F0">
        <w:rPr>
          <w:sz w:val="28"/>
          <w:szCs w:val="28"/>
        </w:rPr>
        <w:t xml:space="preserve">The project scope defines the boundaries of the digital transformation initiative. It involves the integration and modernization of fragmented legacy systems across critical banking operations. The primary focus is on consolidating and transforming systems related to customer </w:t>
      </w:r>
      <w:proofErr w:type="spellStart"/>
      <w:r w:rsidRPr="009948F0">
        <w:rPr>
          <w:sz w:val="28"/>
          <w:szCs w:val="28"/>
        </w:rPr>
        <w:t>onboarding</w:t>
      </w:r>
      <w:proofErr w:type="spellEnd"/>
      <w:r w:rsidRPr="009948F0">
        <w:rPr>
          <w:sz w:val="28"/>
          <w:szCs w:val="28"/>
        </w:rPr>
        <w:t xml:space="preserve">, transaction processing (implicitly included under modernization/trade finance if applicable), loan servicing, and fraud detection into a unified, secure, and compliant platform. This </w:t>
      </w:r>
      <w:proofErr w:type="gramStart"/>
      <w:r w:rsidRPr="009948F0">
        <w:rPr>
          <w:sz w:val="28"/>
          <w:szCs w:val="28"/>
        </w:rPr>
        <w:t>will be achieved</w:t>
      </w:r>
      <w:proofErr w:type="gramEnd"/>
      <w:r w:rsidRPr="009948F0">
        <w:rPr>
          <w:sz w:val="28"/>
          <w:szCs w:val="28"/>
        </w:rPr>
        <w:t xml:space="preserve"> primarily through the adoption of a cloud-native architecture. The scope includes the design, development, implementation, and initial stabilization of this new architecture and related systems. It aims to address issues like compliance gaps, poor data integrity, </w:t>
      </w:r>
      <w:proofErr w:type="gramStart"/>
      <w:r w:rsidRPr="009948F0">
        <w:rPr>
          <w:sz w:val="28"/>
          <w:szCs w:val="28"/>
        </w:rPr>
        <w:t>and slow</w:t>
      </w:r>
      <w:proofErr w:type="gramEnd"/>
      <w:r w:rsidRPr="009948F0">
        <w:rPr>
          <w:sz w:val="28"/>
          <w:szCs w:val="28"/>
        </w:rPr>
        <w:t xml:space="preserve"> service rollouts by enabling faster, more reliable, and more secure banking operations. Future, non-core system replacements or detailed user interface (UI) rebuilds are generally out of scope, unless explicitly stated otherwise.</w:t>
      </w:r>
    </w:p>
    <w:p w:rsidR="009948F0" w:rsidRDefault="009948F0">
      <w:pPr>
        <w:rPr>
          <w:sz w:val="28"/>
          <w:szCs w:val="28"/>
        </w:rPr>
      </w:pPr>
      <w:r w:rsidRPr="009948F0">
        <w:rPr>
          <w:sz w:val="28"/>
          <w:szCs w:val="28"/>
        </w:rPr>
        <w:t>Objectives</w:t>
      </w:r>
    </w:p>
    <w:p w:rsidR="009948F0" w:rsidRPr="009948F0" w:rsidRDefault="009948F0" w:rsidP="009948F0">
      <w:pPr>
        <w:rPr>
          <w:sz w:val="28"/>
          <w:szCs w:val="28"/>
        </w:rPr>
      </w:pPr>
      <w:r w:rsidRPr="009948F0">
        <w:rPr>
          <w:sz w:val="28"/>
          <w:szCs w:val="28"/>
        </w:rPr>
        <w:t>The key objectives for this business requirements document (BRD) and the subsequent project are as follows:</w:t>
      </w:r>
    </w:p>
    <w:p w:rsidR="009948F0" w:rsidRPr="009948F0" w:rsidRDefault="009948F0" w:rsidP="009948F0">
      <w:pPr>
        <w:rPr>
          <w:sz w:val="28"/>
          <w:szCs w:val="28"/>
        </w:rPr>
      </w:pPr>
      <w:r w:rsidRPr="009948F0">
        <w:rPr>
          <w:sz w:val="28"/>
          <w:szCs w:val="28"/>
        </w:rPr>
        <w:t>1.  Migrate to a secure cloud-native infrastructure by the fourth quarter: This objective sets a specific timeline (end of the current year, assuming the current date is Q1 2026) for completing the migration process to the new cloud-native architecture, emphasizing security as a core requirement.</w:t>
      </w:r>
    </w:p>
    <w:p w:rsidR="009948F0" w:rsidRPr="009948F0" w:rsidRDefault="009948F0" w:rsidP="009948F0">
      <w:pPr>
        <w:rPr>
          <w:sz w:val="28"/>
          <w:szCs w:val="28"/>
        </w:rPr>
      </w:pPr>
      <w:r w:rsidRPr="009948F0">
        <w:rPr>
          <w:sz w:val="28"/>
          <w:szCs w:val="28"/>
        </w:rPr>
        <w:t xml:space="preserve">2.  Improve </w:t>
      </w:r>
      <w:proofErr w:type="spellStart"/>
      <w:r w:rsidRPr="009948F0">
        <w:rPr>
          <w:sz w:val="28"/>
          <w:szCs w:val="28"/>
        </w:rPr>
        <w:t>onboarding</w:t>
      </w:r>
      <w:proofErr w:type="spellEnd"/>
      <w:r w:rsidRPr="009948F0">
        <w:rPr>
          <w:sz w:val="28"/>
          <w:szCs w:val="28"/>
        </w:rPr>
        <w:t xml:space="preserve"> and loan processing time by 40%: This objective quantifies the expected efficiency gains specifically for two critical customer-facing processes: </w:t>
      </w:r>
      <w:proofErr w:type="spellStart"/>
      <w:r w:rsidRPr="009948F0">
        <w:rPr>
          <w:sz w:val="28"/>
          <w:szCs w:val="28"/>
        </w:rPr>
        <w:t>onboarding</w:t>
      </w:r>
      <w:proofErr w:type="spellEnd"/>
      <w:r w:rsidRPr="009948F0">
        <w:rPr>
          <w:sz w:val="28"/>
          <w:szCs w:val="28"/>
        </w:rPr>
        <w:t xml:space="preserve"> new customers and processing loan applications.</w:t>
      </w:r>
    </w:p>
    <w:p w:rsidR="009948F0" w:rsidRPr="009948F0" w:rsidRDefault="009948F0" w:rsidP="009948F0">
      <w:pPr>
        <w:rPr>
          <w:sz w:val="28"/>
          <w:szCs w:val="28"/>
        </w:rPr>
      </w:pPr>
      <w:r w:rsidRPr="009948F0">
        <w:rPr>
          <w:sz w:val="28"/>
          <w:szCs w:val="28"/>
        </w:rPr>
        <w:t>3.  Achieve 100% compliance with KYC, AML, PCI-DSS, and GDPR: This objective highlights the critical legal and regulatory imperative. It mandates that the new system and processes must meet all requirements related to Know Your Customer (KYC), Anti-Money Laundering (AML), Payment Card Industry Data Security Standard (PCI-DSS), and the General Data Protection Regulation (GDPR).</w:t>
      </w:r>
    </w:p>
    <w:p w:rsidR="009948F0" w:rsidRDefault="009948F0" w:rsidP="009948F0">
      <w:pPr>
        <w:rPr>
          <w:sz w:val="28"/>
          <w:szCs w:val="28"/>
        </w:rPr>
      </w:pPr>
      <w:r w:rsidRPr="009948F0">
        <w:rPr>
          <w:sz w:val="28"/>
          <w:szCs w:val="28"/>
        </w:rPr>
        <w:t xml:space="preserve">4.  Maintain 99.99% uptime with scalable infrastructure: This objective addresses the operational reliability and performance expectations. It sets a </w:t>
      </w:r>
      <w:r w:rsidRPr="009948F0">
        <w:rPr>
          <w:sz w:val="28"/>
          <w:szCs w:val="28"/>
        </w:rPr>
        <w:lastRenderedPageBreak/>
        <w:t xml:space="preserve">very high availability target (five nines) and explicitly requires that the underlying infrastructure </w:t>
      </w:r>
      <w:proofErr w:type="gramStart"/>
      <w:r w:rsidRPr="009948F0">
        <w:rPr>
          <w:sz w:val="28"/>
          <w:szCs w:val="28"/>
        </w:rPr>
        <w:t>be designed</w:t>
      </w:r>
      <w:proofErr w:type="gramEnd"/>
      <w:r w:rsidRPr="009948F0">
        <w:rPr>
          <w:sz w:val="28"/>
          <w:szCs w:val="28"/>
        </w:rPr>
        <w:t xml:space="preserve"> to scale easily to meet future demands.</w:t>
      </w:r>
    </w:p>
    <w:p w:rsidR="009948F0" w:rsidRDefault="004C3E87" w:rsidP="009948F0">
      <w:pPr>
        <w:rPr>
          <w:sz w:val="28"/>
          <w:szCs w:val="28"/>
        </w:rPr>
      </w:pPr>
      <w:r w:rsidRPr="004C3E87">
        <w:rPr>
          <w:sz w:val="28"/>
          <w:szCs w:val="28"/>
        </w:rPr>
        <w:t>Assumptions</w:t>
      </w:r>
    </w:p>
    <w:p w:rsidR="004C3E87" w:rsidRPr="004C3E87" w:rsidRDefault="004C3E87" w:rsidP="004C3E87">
      <w:pPr>
        <w:rPr>
          <w:sz w:val="28"/>
          <w:szCs w:val="28"/>
        </w:rPr>
      </w:pPr>
      <w:r w:rsidRPr="004C3E87">
        <w:rPr>
          <w:sz w:val="28"/>
          <w:szCs w:val="28"/>
        </w:rPr>
        <w:t xml:space="preserve">The following assumptions </w:t>
      </w:r>
      <w:proofErr w:type="gramStart"/>
      <w:r w:rsidRPr="004C3E87">
        <w:rPr>
          <w:sz w:val="28"/>
          <w:szCs w:val="28"/>
        </w:rPr>
        <w:t>are made</w:t>
      </w:r>
      <w:proofErr w:type="gramEnd"/>
      <w:r w:rsidRPr="004C3E87">
        <w:rPr>
          <w:sz w:val="28"/>
          <w:szCs w:val="28"/>
        </w:rPr>
        <w:t xml:space="preserve"> regarding the context and execution of this BRD and the project:</w:t>
      </w:r>
    </w:p>
    <w:p w:rsidR="004C3E87" w:rsidRPr="004C3E87" w:rsidRDefault="004C3E87" w:rsidP="004C3E87">
      <w:pPr>
        <w:rPr>
          <w:sz w:val="28"/>
          <w:szCs w:val="28"/>
        </w:rPr>
      </w:pPr>
      <w:r w:rsidRPr="004C3E87">
        <w:rPr>
          <w:sz w:val="28"/>
          <w:szCs w:val="28"/>
        </w:rPr>
        <w:t>1.  Vendor contracts are in place: It is assumed that any necessary contracts with third-party vendors (e.g., cloud providers, specific software vendors, integrators) required for the project have already been established.</w:t>
      </w:r>
    </w:p>
    <w:p w:rsidR="004C3E87" w:rsidRPr="004C3E87" w:rsidRDefault="004C3E87" w:rsidP="004C3E87">
      <w:pPr>
        <w:rPr>
          <w:sz w:val="28"/>
          <w:szCs w:val="28"/>
        </w:rPr>
      </w:pPr>
      <w:r w:rsidRPr="004C3E87">
        <w:rPr>
          <w:sz w:val="28"/>
          <w:szCs w:val="28"/>
        </w:rPr>
        <w:t>2.  Stakeholders are available for workshops and validations: The process of defining and validating these business requirements assumes that all key stakeholders (as identified in the scenario or project charter) will be accessible and able to participate in required workshops, reviews, and validation sessions.</w:t>
      </w:r>
    </w:p>
    <w:p w:rsidR="004C3E87" w:rsidRDefault="004C3E87" w:rsidP="004C3E87">
      <w:pPr>
        <w:rPr>
          <w:sz w:val="28"/>
          <w:szCs w:val="28"/>
        </w:rPr>
      </w:pPr>
      <w:r w:rsidRPr="004C3E87">
        <w:rPr>
          <w:sz w:val="28"/>
          <w:szCs w:val="28"/>
        </w:rPr>
        <w:t xml:space="preserve">3.  Cloud environment is provisioned and secure: It </w:t>
      </w:r>
      <w:proofErr w:type="gramStart"/>
      <w:r w:rsidRPr="004C3E87">
        <w:rPr>
          <w:sz w:val="28"/>
          <w:szCs w:val="28"/>
        </w:rPr>
        <w:t>is assumed</w:t>
      </w:r>
      <w:proofErr w:type="gramEnd"/>
      <w:r w:rsidRPr="004C3E87">
        <w:rPr>
          <w:sz w:val="28"/>
          <w:szCs w:val="28"/>
        </w:rPr>
        <w:t xml:space="preserve"> that the foundational cloud environment (if a specific provider is chosen) is ready for the project and meets the bank's performance, security, and compliance requirements as outlined in the objectives and scope.</w:t>
      </w:r>
    </w:p>
    <w:p w:rsidR="004C3E87" w:rsidRDefault="00205826" w:rsidP="004C3E87">
      <w:pPr>
        <w:rPr>
          <w:sz w:val="28"/>
          <w:szCs w:val="28"/>
        </w:rPr>
      </w:pPr>
      <w:r w:rsidRPr="00205826">
        <w:rPr>
          <w:sz w:val="28"/>
          <w:szCs w:val="28"/>
        </w:rPr>
        <w:t>Success metrics</w:t>
      </w:r>
    </w:p>
    <w:p w:rsidR="00205826" w:rsidRPr="00205826" w:rsidRDefault="00205826" w:rsidP="00205826">
      <w:pPr>
        <w:rPr>
          <w:sz w:val="28"/>
          <w:szCs w:val="28"/>
        </w:rPr>
      </w:pPr>
      <w:r w:rsidRPr="00205826">
        <w:rPr>
          <w:sz w:val="28"/>
          <w:szCs w:val="28"/>
        </w:rPr>
        <w:t>The project's success will be measured against the following key metrics:</w:t>
      </w:r>
    </w:p>
    <w:p w:rsidR="00205826" w:rsidRPr="00205826" w:rsidRDefault="00205826" w:rsidP="00205826">
      <w:pPr>
        <w:rPr>
          <w:sz w:val="28"/>
          <w:szCs w:val="28"/>
        </w:rPr>
      </w:pPr>
      <w:r w:rsidRPr="00205826">
        <w:rPr>
          <w:sz w:val="28"/>
          <w:szCs w:val="28"/>
        </w:rPr>
        <w:t>1.  Zero regulatory violations post-launch: This metric directly ties to Objective 3 (100% compliance). Success is d</w:t>
      </w:r>
      <w:bookmarkStart w:id="0" w:name="_GoBack"/>
      <w:bookmarkEnd w:id="0"/>
      <w:r w:rsidRPr="00205826">
        <w:rPr>
          <w:sz w:val="28"/>
          <w:szCs w:val="28"/>
        </w:rPr>
        <w:t xml:space="preserve">efined as the absence of any formal breaches or </w:t>
      </w:r>
      <w:r w:rsidRPr="00205826">
        <w:rPr>
          <w:sz w:val="28"/>
          <w:szCs w:val="28"/>
        </w:rPr>
        <w:t>violations of KYC, AML, PCI-DSS, GDPR, or other relevant regulations identified in the project scope after the new system go</w:t>
      </w:r>
      <w:r w:rsidRPr="00205826">
        <w:rPr>
          <w:sz w:val="28"/>
          <w:szCs w:val="28"/>
        </w:rPr>
        <w:t xml:space="preserve"> live.</w:t>
      </w:r>
    </w:p>
    <w:p w:rsidR="00205826" w:rsidRPr="00205826" w:rsidRDefault="00205826" w:rsidP="00205826">
      <w:pPr>
        <w:rPr>
          <w:sz w:val="28"/>
          <w:szCs w:val="28"/>
        </w:rPr>
      </w:pPr>
      <w:r w:rsidRPr="00205826">
        <w:rPr>
          <w:sz w:val="28"/>
          <w:szCs w:val="28"/>
        </w:rPr>
        <w:t>2.  Less than 2 seconds of average API response times: This metric quantifies the expected performance level for the system's Application Programming Interfaces (APIs). It sets a specific benchmark for responsiveness.</w:t>
      </w:r>
    </w:p>
    <w:p w:rsidR="00205826" w:rsidRPr="00205826" w:rsidRDefault="00205826" w:rsidP="00205826">
      <w:pPr>
        <w:rPr>
          <w:sz w:val="28"/>
          <w:szCs w:val="28"/>
        </w:rPr>
      </w:pPr>
      <w:r w:rsidRPr="00205826">
        <w:rPr>
          <w:sz w:val="28"/>
          <w:szCs w:val="28"/>
        </w:rPr>
        <w:t xml:space="preserve">3.  Successful CI/CD implementation with rollback functionality: This metric focuses on the development and deployment pipeline. Success means that a robust, automated Continuous Integration/Continuous Deployment (CI/CD) system is operational, and it includes the capability </w:t>
      </w:r>
      <w:proofErr w:type="gramStart"/>
      <w:r w:rsidRPr="00205826">
        <w:rPr>
          <w:sz w:val="28"/>
          <w:szCs w:val="28"/>
        </w:rPr>
        <w:t>to reliably roll</w:t>
      </w:r>
      <w:proofErr w:type="gramEnd"/>
      <w:r w:rsidRPr="00205826">
        <w:rPr>
          <w:sz w:val="28"/>
          <w:szCs w:val="28"/>
        </w:rPr>
        <w:t xml:space="preserve"> back changes if issues arise during deployment.</w:t>
      </w:r>
    </w:p>
    <w:p w:rsidR="00205826" w:rsidRDefault="00205826" w:rsidP="00205826">
      <w:pPr>
        <w:rPr>
          <w:sz w:val="28"/>
          <w:szCs w:val="28"/>
        </w:rPr>
      </w:pPr>
      <w:r w:rsidRPr="00205826">
        <w:rPr>
          <w:sz w:val="28"/>
          <w:szCs w:val="28"/>
        </w:rPr>
        <w:t xml:space="preserve">4.  Customer satisfaction improvement based on post-deployment survey: This metric links the project's outcomes to a tangible business outcome. It requires a measurable improvement in overall customer satisfaction ratings, to be </w:t>
      </w:r>
      <w:r w:rsidRPr="00205826">
        <w:rPr>
          <w:sz w:val="28"/>
          <w:szCs w:val="28"/>
        </w:rPr>
        <w:lastRenderedPageBreak/>
        <w:t>determined through a specific survey conducted after the new system has been in use for a defined period.</w:t>
      </w:r>
    </w:p>
    <w:p w:rsidR="004C3E87" w:rsidRPr="00ED0370" w:rsidRDefault="004C3E87" w:rsidP="004C3E87">
      <w:pPr>
        <w:rPr>
          <w:sz w:val="28"/>
          <w:szCs w:val="28"/>
        </w:rPr>
      </w:pPr>
    </w:p>
    <w:sectPr w:rsidR="004C3E87" w:rsidRPr="00ED03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CC3"/>
    <w:rsid w:val="00205826"/>
    <w:rsid w:val="004C3E87"/>
    <w:rsid w:val="009948F0"/>
    <w:rsid w:val="00B53CC3"/>
    <w:rsid w:val="00E3771F"/>
    <w:rsid w:val="00ED037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67D18"/>
  <w15:chartTrackingRefBased/>
  <w15:docId w15:val="{A4C5E73F-B061-4855-8554-BA9D502F7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676</Words>
  <Characters>3855</Characters>
  <Application>Microsoft Office Word</Application>
  <DocSecurity>0</DocSecurity>
  <Lines>32</Lines>
  <Paragraphs>9</Paragraphs>
  <ScaleCrop>false</ScaleCrop>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dc:creator>
  <cp:keywords/>
  <dc:description/>
  <cp:lastModifiedBy>Dennis</cp:lastModifiedBy>
  <cp:revision>5</cp:revision>
  <dcterms:created xsi:type="dcterms:W3CDTF">2026-02-12T01:03:00Z</dcterms:created>
  <dcterms:modified xsi:type="dcterms:W3CDTF">2026-02-12T01:06:00Z</dcterms:modified>
</cp:coreProperties>
</file>