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PROJECT CHARTER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Core Digital Transformation for Retail Banking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Enterprise Architecture &amp; Regulatory Compliance Initiative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Digital Transformation for Retail Banking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17, 2026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Executive Officer (CEO)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Information Officer (CIO)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– Initial Release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Project Description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Core Digital Transformation for Retail Banking project is a strategic initiative to modernize the bank's entire technology infrastructure and operational systems. The project will replace legacy batch-processing platforms with a unified, cloud-native architecture leveraging microservices, containerization, and real-time data pipelines. The transformation addresses critical gaps in customer experience, regulatory compliance, and data integrity across all banking operations including customer onboarding, transaction processing, and loan servicing.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Objectives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project will achieve the following strategic objectives: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Migrate all legacy systems from siloed databases and batch workflows to a unified cloud-native microservices architecture.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Establish real-time data pipelines and a centralized data warehouse with secure APIs to enable data-driven decision-making.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full auditability, encryption, and role-based access controls (RBAC) to meet regulatory mandates.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Achieve full compliance with KYC, AML, PCI-DSS, and GDPR regulatory frameworks.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Reduce manual processing errors and improve system scalability to support business growth.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 fraud detection and customer analytics dashboards with real-time alerting capabilities.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Success Criteria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Project success will be measured against the following criteria: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100% of core banking systems migrated to cloud-native architecture within project timeline.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Zero critical compliance findings in post-implementation KYC, AML, PCI-DSS, and GDPR audits.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System uptime of 99.9% or greater following go-live for all production services.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transaction processing latency reduced to under 500ms for 95th percentile requests.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Fraud detection alerts operational within 30 seconds of suspicious activity.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data encrypted in transit and at rest; RBAC fully implemented and auditable.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Successful User Acceptance Testing (UAT) with sign-off from business unit leads.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Key Stakeholders and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Title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Department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Executive decision authority; final approval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CIO / IT Department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Day-to-day oversight and delivery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Architect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Architecture Team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design and integration governance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Affairs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KYC, AML, PCI-DSS, GDPR alignment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gathering and UAT coordination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&amp; Analytics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design and data warehouse build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Officer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 Security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Encryption, RBAC, and audit controls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Rep / UX Lead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Experience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flow and dashboard design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Auditor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Firm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compliance validation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Scope</w:t>
      </w:r>
    </w:p>
    <w:p>
      <w:pPr>
        <w:pStyle w:val="Heading2"/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5.1 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Migration of all core banking applications from legacy architecture to cloud-native microservices.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Design and deployment of real-time data pipelines and centralized data warehouse.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Secure API layer for inter-service communication and third-party integrations.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Fraud detection and alerting system with customer analytics dashboards.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Implementation of full encryption, role-based access control, and audit logging.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Regulatory compliance alignment: KYC, AML, PCI-DSS, and GDPR.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Staff training on new systems and security protocols.</w:t>
      </w:r>
    </w:p>
    <w:p>
      <w:pPr>
        <w:pStyle w:val="Heading2"/>
        <w:pBdr>
          <w:bottom w:val="single" w:color="2E75B6" w:sz="4"/>
        </w:pBd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5.2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Retail branch network upgrades or physical infrastructure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Third-party vendor product development or modifications.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Mobile app development (addressed in a separate parallel workstream).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International market expansion activities.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Deliverables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Cloud-native microservices architecture (deployed and tested in production).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data pipeline and centralized data warehouse.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Secure API gateway with full documentation.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Fraud detection and customer analytics dashboards.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system with encryption at rest and in transit.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Regulatory compliance documentation package (KYC, AML, PCI-DSS, GDPR).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System integration and UAT test results reports.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Staff training materials and completion records.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Post-implementation support runbooks and operational documentation.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Executive sponsorship and budget approval remain stable throughout the project lifecycle.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required cloud infrastructure and licensing will be procured within the first 60 days.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Business unit leads will dedicate sufficient time and resources to UAT activities.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Existing regulatory mandates (KYC, AML, PCI-DSS, GDPR) will not materially change during the project.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bank's existing network infrastructure is capable of supporting the new cloud-native workloads.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Third-party API providers will maintain service availability during integration sprints.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regulatory compliance milestones must be met without exception; no scope reductions are permitted.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Production system downtime must be minimized and scheduled only during approved maintenance windows.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residency requirements must comply with applicable jurisdiction laws; no data may be stored outside approved regions.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Project must work within the approved annual IT budget allocation.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Resource availability may be constrained during peak business periods (e.g., quarter-end).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High-Level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migration errors causing data integrity issues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Phased migration with parallel run validation and rollback procedures.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non-compliance during transition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compliance monitoring; dedicated Compliance Officer involvement at all phases.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system integration failures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Thorough API testing, sandbox environments, and incremental cutover strategy.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personnel attrition during project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documentation, cross-training, and contractor contingency plan.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vendor outages or SLA breaches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Multi-region redundancy and vendor SLA with financial penalties.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overrun due to scope creep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change control process; executive approval required for all scope changes.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 breach during migration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Zero-trust security posture, pen testing, and 24/7 SOC monitoring throughout migration.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Kick-off &amp; Charter Approval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CIO / Sponsor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Design &amp; Infrastructure Provisioning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Architect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 &amp; Warehouse Development Complete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Controls Implemented &amp; Validated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October 2026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Officer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Acceptance Testing (UAT) Completed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2026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Go-Live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CIO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Post-Implementation Review &amp; Project Closure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Budget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represents a high-level budget estimate for the project. Detailed cost breakdowns will be established in the Project Management Plan.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Category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 (USD)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Infrastructure &amp; Licensing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$2,400,000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Development &amp; Integration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$3,200,000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Migration &amp; Engineering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$800,000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Compliance &amp; External Audit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$500,000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&amp; Change Management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$300,000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 Reserve (10%)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$720,000</w:t>
            </w:r>
          </w:p>
        </w:tc>
      </w:tr>
      <w:tr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TOTAL BUDGET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$7,920,000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240" w:after="12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Approval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By signing below, the designated approvers authorize the initiation of this project and commit the resources and support defined herein.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1560"/>
        <w:gridCol w:w="156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Executive Officer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Information Officer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Chief Compliance Officer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Confidential  |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0"/>
    </w:pPr>
    <w:r>
      <w:rPr>
        <w:rFonts w:ascii="Arial" w:cs="Arial" w:eastAsia="Arial" w:hAnsi="Arial"/>
        <w:color w:val="888888"/>
        <w:sz w:val="16"/>
        <w:szCs w:val="16"/>
      </w:rPr>
      <w:t xml:space="preserve">PROJECT CHARTER  |  Core Digital Transformation for Retail Banking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2026-02-17T13:03:24.189Z</dcterms:created>
  <dcterms:modified xsi:type="dcterms:W3CDTF">2026-02-17T13:03:24.190Z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