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52"/>
          <w:szCs w:val="52"/>
        </w:rPr>
        <w:t xml:space="preserve">STAKEHOLDER REGISTER</w:t>
      </w:r>
    </w:p>
    <w:p>
      <w:pPr>
        <w:spacing w:before="0" w:after="60"/>
        <w:jc w:val="center"/>
      </w:pPr>
      <w:r>
        <w:rPr>
          <w:rFonts w:ascii="Arial" w:cs="Arial" w:eastAsia="Arial" w:hAnsi="Arial"/>
          <w:color w:val="2E75B6"/>
          <w:sz w:val="32"/>
          <w:szCs w:val="32"/>
        </w:rPr>
        <w:t xml:space="preserve">Core Digital Transformation for Retail Banking</w:t>
      </w:r>
    </w:p>
    <w:p>
      <w:pPr>
        <w:spacing w:before="0" w:after="360"/>
        <w:jc w:val="center"/>
      </w:pPr>
      <w:r>
        <w:rPr>
          <w:rFonts w:ascii="Arial" w:cs="Arial" w:eastAsia="Arial" w:hAnsi="Arial"/>
          <w:color w:val="555555"/>
          <w:sz w:val="22"/>
          <w:szCs w:val="22"/>
        </w:rPr>
        <w:t xml:space="preserve">Enterprise Architecture &amp; Regulatory Compliance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Title</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Core Digital Transformation for Retail Banking</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February 17, 2026</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Project Manager / CIO</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Stakeholders</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13</w:t>
            </w:r>
          </w:p>
        </w:tc>
      </w:tr>
    </w:tbl>
    <w:p>
      <w:pPr>
        <w:spacing w:before="80" w:after="80"/>
      </w:pPr>
      <w:r>
        <w:t xml:space="preserve"/>
      </w:r>
    </w:p>
    <w:p>
      <w:pPr>
        <w:pStyle w:val="Heading1"/>
        <w:shd w:fill="1F4E79" w:val="clear"/>
        <w:spacing w:before="240" w:after="120"/>
        <w:ind w:left="120" w:right="120"/>
      </w:pPr>
      <w:r>
        <w:rPr>
          <w:rFonts w:ascii="Arial" w:cs="Arial" w:eastAsia="Arial" w:hAnsi="Arial"/>
          <w:b/>
          <w:bCs/>
          <w:color w:val="FFFFFF"/>
          <w:sz w:val="28"/>
          <w:szCs w:val="28"/>
        </w:rPr>
        <w:t xml:space="preserve">Purpose</w:t>
      </w:r>
    </w:p>
    <w:p>
      <w:pPr>
        <w:spacing w:before="60" w:after="60"/>
      </w:pPr>
      <w:r>
        <w:rPr>
          <w:rFonts w:ascii="Arial" w:cs="Arial" w:eastAsia="Arial" w:hAnsi="Arial"/>
          <w:sz w:val="20"/>
          <w:szCs w:val="20"/>
        </w:rPr>
        <w:t xml:space="preserve">This Stakeholder Register identifies all individuals, groups, and organizations with a stake in the Core Digital Transformation for Retail Banking project. It captures each stakeholder's role, attitude, influence, impact, interest level, communication preferences, availability, success criteria, and work hours. The register is a living document and will be updated throughout the project lifecycle as stakeholder engagement evolves.</w:t>
      </w:r>
    </w:p>
    <w:p>
      <w:pPr>
        <w:spacing w:before="80" w:after="80"/>
      </w:pPr>
      <w:r>
        <w:t xml:space="preserve"/>
      </w:r>
    </w:p>
    <w:p>
      <w:pPr>
        <w:pStyle w:val="Heading1"/>
        <w:shd w:fill="1F4E79" w:val="clear"/>
        <w:spacing w:before="240" w:after="120"/>
        <w:ind w:left="120" w:right="120"/>
      </w:pPr>
      <w:r>
        <w:rPr>
          <w:rFonts w:ascii="Arial" w:cs="Arial" w:eastAsia="Arial" w:hAnsi="Arial"/>
          <w:b/>
          <w:bCs/>
          <w:color w:val="FFFFFF"/>
          <w:sz w:val="28"/>
          <w:szCs w:val="28"/>
        </w:rPr>
        <w:t xml:space="preserve">Color Legend &amp; Field Definitions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Attitude</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Supportive (green) – actively supports the project. Neutral (yellow) – neither supports nor opposes. Resistant (red) – opposes the project.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Influence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stakeholder's ability to affect project decisions or outcomes. High / Medium / Low.</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Impact</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The degree to which the project affects the stakeholder. High / Medium / Low.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Interest</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level of interest the stakeholder has in project outcomes. High / Medium / Low.</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 Preferences</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Preferred frequency, format, and channel for receiving project communications.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Availability</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When and how much the stakeholder can engage with the project team.</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Success Criteria</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What the stakeholder considers a successful project outcome.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Work Hours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Estimated weekly hours dedicated to the project.</w:t>
            </w:r>
          </w:p>
        </w:tc>
      </w:tr>
    </w:tbl>
    <w:p>
      <w:pPr>
        <w:sectPr>
          <w:headerReference w:type="default" r:id="rId6"/>
          <w:footerReference w:type="default" r:id="rId7"/>
          <w:pgSz w:w="12240" w:h="15840" w:orient="portrait"/>
          <w:pgMar w:top="1080" w:right="1080" w:bottom="1080" w:left="1080" w:header="708" w:footer="708" w:gutter="0"/>
          <w:pgNumType/>
          <w:docGrid w:linePitch="360"/>
        </w:sectPr>
      </w:pPr>
    </w:p>
    <w:p>
      <w:pPr>
        <w:spacing w:before="120" w:after="120"/>
      </w:pPr>
      <w:r>
        <w:rPr>
          <w:rFonts w:ascii="Arial" w:cs="Arial" w:eastAsia="Arial" w:hAnsi="Arial"/>
          <w:b/>
          <w:bCs/>
          <w:color w:val="1F4E79"/>
          <w:sz w:val="32"/>
          <w:szCs w:val="32"/>
        </w:rPr>
        <w:t xml:space="preserve">Stakeholder Register</w:t>
      </w:r>
    </w:p>
    <w:tbl>
      <w:tblPr>
        <w:tblW w:type="dxa" w:w="132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500"/>
        <w:gridCol w:w="1200"/>
        <w:gridCol w:w="600"/>
        <w:gridCol w:w="580"/>
        <w:gridCol w:w="700"/>
        <w:gridCol w:w="550"/>
        <w:gridCol w:w="1600"/>
        <w:gridCol w:w="900"/>
        <w:gridCol w:w="1000"/>
        <w:gridCol w:w="1700"/>
        <w:gridCol w:w="850"/>
      </w:tblGrid>
      <w:tr>
        <w:trPr>
          <w:tblHeader/>
        </w:trPr>
        <w:tc>
          <w:tcPr>
            <w:tcW w:type="dxa" w:w="4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Stakeholder</w:t>
            </w:r>
          </w:p>
        </w:tc>
        <w:tc>
          <w:tcPr>
            <w:tcW w:type="dxa" w:w="1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Department / Group</w:t>
            </w:r>
          </w:p>
        </w:tc>
        <w:tc>
          <w:tcPr>
            <w:tcW w:type="dxa" w:w="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Attitude</w:t>
            </w:r>
          </w:p>
        </w:tc>
        <w:tc>
          <w:tcPr>
            <w:tcW w:type="dxa" w:w="5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Influence</w:t>
            </w:r>
          </w:p>
        </w:tc>
        <w:tc>
          <w:tcPr>
            <w:tcW w:type="dxa" w:w="7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55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Interest</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Comm. Preferences</w:t>
            </w:r>
          </w:p>
        </w:tc>
        <w:tc>
          <w:tcPr>
            <w:tcW w:type="dxa" w:w="9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1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Availability</w:t>
            </w:r>
          </w:p>
        </w:tc>
        <w:tc>
          <w:tcPr>
            <w:tcW w:type="dxa" w:w="17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c>
          <w:tcPr>
            <w:tcW w:type="dxa" w:w="85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Work Hours</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Chief Executive Officer (CEO)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Project Sponsor / Executive Champion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Executive Leadership</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Monthly executive summary reports; escalations as needed</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Head Office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Limited – strategic decisions only</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Regulatory compliance achieved; revenue growth; reduced operational risk</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 required for approvals and escalations</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S-02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Chief Information Officer (CIO)</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Project Manager / IT Lead</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Information Technology</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Weekly project status reports; daily stand-up during critical phases</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Head Office / Remote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project involvement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On-time, on-budget delivery; stable production systems post go-live</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(40 hrs/week)</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S-03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Chief Compliance Officer (CCO)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Regulatory Advisor / Approver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Regulatory Affairs &amp; Compliance</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Bi-weekly compliance updates; immediate alerts for regulatory risks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Head Office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Available for reviews and milestone sign-offs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Zero compliance violations; KYC, AML, PCI-DSS, GDPR fully satisfied</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Approx. 10–15 hrs/week</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S-04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Enterprise Architect</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Solution Designer / Technical Governance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IT Architecture Team</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Weekly architecture review meetings; technical design documentation</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Head Office / Remote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during design; part-time in later phases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Scalable, secure, and maintainable architecture approved by all stakeholders</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(40 hrs/week) – Phases 1–2; 20 hrs/week thereafter</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S-05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Chief Information Security Officer (CISO)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Security Lead / Risk Advisor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Information Security</w:t>
            </w:r>
          </w:p>
        </w:tc>
        <w:tc>
          <w:tcPr>
            <w:tcW w:type="dxa" w:w="6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sz w:val="18"/>
                <w:szCs w:val="18"/>
              </w:rPr>
              <w:t xml:space="preserve">Neutral</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Bi-weekly security review; incident alerts immediately</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Head Office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Available for security reviews and approvals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Zero security breaches; encryption and RBAC fully operational</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15–20 hrs/week</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S-06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Data Engineering Lead</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Data Pipeline &amp; Warehouse Developer</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Data &amp; Analytics</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Weekly sprint reviews; technical documentation updates</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Remote / Head Office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during data migration phases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Real-time pipelines operational; data integrity validated post-migration</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Full-time (40 hrs/week)</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S-07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Business Analyst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Requirements Lead / UAT Coordinator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Operations</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Bi-weekly requirements updates; UAT progress reports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Head Office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Full-time during requirements and UAT phases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All business requirements documented and validated; UAT passed with sign-off</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Full-time (40 hrs/week) – Requirements &amp; UAT phases</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S-08</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Customer Experience / UX Lead</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UX Designer / Customer Advocate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Customer Experience</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High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Bi-weekly UX review sessions; prototype walkthroughs</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Head Office / Remote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Part-time; full-time during onboarding design phase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Improved customer onboarding NPS; intuitive dashboards approved by business</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20 hrs/week (40 hrs/week during UX sprints)</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S-09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Retail Banking Operations Manager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Business Process Owner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Retail Banking Operations</w:t>
            </w:r>
          </w:p>
        </w:tc>
        <w:tc>
          <w:tcPr>
            <w:tcW w:type="dxa" w:w="6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sz w:val="18"/>
                <w:szCs w:val="18"/>
              </w:rPr>
              <w:t xml:space="preserve">Neutral</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Monthly progress briefings; change management communications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Branch Network / Head Office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Available for workshops and milestone reviews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Minimal operational disruption; staff adapted to new systems</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10 hrs/week</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External Auditor (Third-Party Firm)</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Independent Compliance Validator</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External / Third Party</w:t>
            </w:r>
          </w:p>
        </w:tc>
        <w:tc>
          <w:tcPr>
            <w:tcW w:type="dxa" w:w="6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sz w:val="18"/>
                <w:szCs w:val="18"/>
              </w:rPr>
              <w:t xml:space="preserve">Neutral</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Medium</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Formal reports at milestone gates; ad hoc meetings as needed</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Remote / On-site visits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Engaged at compliance review milestones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Clean audit opinion; no material findings at final review</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Engagement-based (milestone reviews)</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Cloud Infrastructure Vendor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Technology Partner / Service Provider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External Vendor</w:t>
            </w:r>
          </w:p>
        </w:tc>
        <w:tc>
          <w:tcPr>
            <w:tcW w:type="dxa" w:w="60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sz w:val="18"/>
                <w:szCs w:val="18"/>
              </w:rPr>
              <w:t xml:space="preserve">Supportive</w:t>
            </w:r>
          </w:p>
        </w:tc>
        <w:tc>
          <w:tcPr>
            <w:tcW w:type="dxa" w:w="58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Monthly service reviews; SLA reports quarterly</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Remote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Available per SLA and support contract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99.9% uptime SLA met; scalable infrastructure delivered on schedule</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Per contract SLA</w:t>
            </w:r>
          </w:p>
        </w:tc>
      </w:tr>
      <w:tr>
        <w:tc>
          <w:tcPr>
            <w:tcW w:type="dxa" w:w="48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S-12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sz w:val="18"/>
                <w:szCs w:val="18"/>
              </w:rPr>
              <w:t xml:space="preserve">Bank Staff / End Users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End User / Change Adoption Group</w:t>
            </w:r>
          </w:p>
        </w:tc>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All Business Units</w:t>
            </w:r>
          </w:p>
        </w:tc>
        <w:tc>
          <w:tcPr>
            <w:tcW w:type="dxa" w:w="6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sz w:val="18"/>
                <w:szCs w:val="18"/>
              </w:rPr>
              <w:t xml:space="preserve">Neutral</w:t>
            </w:r>
          </w:p>
        </w:tc>
        <w:tc>
          <w:tcPr>
            <w:tcW w:type="dxa" w:w="58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tcPr>
          <w:p>
            <w:pPr>
              <w:jc w:val="center"/>
            </w:pPr>
            <w:r>
              <w:rPr>
                <w:rFonts w:ascii="Arial" w:cs="Arial" w:eastAsia="Arial" w:hAnsi="Arial"/>
                <w:b/>
                <w:bCs/>
                <w:sz w:val="18"/>
                <w:szCs w:val="18"/>
              </w:rPr>
              <w:t xml:space="preserve">Low</w:t>
            </w:r>
          </w:p>
        </w:tc>
        <w:tc>
          <w:tcPr>
            <w:tcW w:type="dxa" w:w="7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sz w:val="18"/>
                <w:szCs w:val="18"/>
              </w:rPr>
              <w:t xml:space="preserve">Medium</w:t>
            </w:r>
          </w:p>
        </w:tc>
        <w:tc>
          <w:tcPr>
            <w:tcW w:type="dxa" w:w="5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pPr>
              <w:jc w:val="center"/>
            </w:pPr>
            <w:r>
              <w:rPr>
                <w:rFonts w:ascii="Arial" w:cs="Arial" w:eastAsia="Arial" w:hAnsi="Arial"/>
                <w:sz w:val="18"/>
                <w:szCs w:val="18"/>
              </w:rPr>
              <w:t xml:space="preserve">Low</w:t>
            </w:r>
          </w:p>
        </w:tc>
        <w:tc>
          <w:tcPr>
            <w:tcW w:type="dxa" w:w="16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Change management newsletters; training sessions</w:t>
            </w:r>
          </w:p>
        </w:tc>
        <w:tc>
          <w:tcPr>
            <w:tcW w:type="dxa" w:w="9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Head Office / Branches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Available for training and feedback sessions</w:t>
            </w:r>
          </w:p>
        </w:tc>
        <w:tc>
          <w:tcPr>
            <w:tcW w:type="dxa" w:w="17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Proficient use of new systems; reduced error rates in daily operations</w:t>
            </w:r>
          </w:p>
        </w:tc>
        <w:tc>
          <w:tcPr>
            <w:tcW w:type="dxa" w:w="85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sz w:val="18"/>
                <w:szCs w:val="18"/>
              </w:rPr>
              <w:t xml:space="preserve">Training sessions as scheduled</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S-13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sz w:val="18"/>
                <w:szCs w:val="18"/>
              </w:rPr>
              <w:t xml:space="preserve">Regulatory Bodies (e.g., FCA, CFPB, PCI Council)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External Regulator / Compliance Authority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External / Government</w:t>
            </w:r>
          </w:p>
        </w:tc>
        <w:tc>
          <w:tcPr>
            <w:tcW w:type="dxa" w:w="6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sz w:val="18"/>
                <w:szCs w:val="18"/>
              </w:rPr>
              <w:t xml:space="preserve">Neutral</w:t>
            </w:r>
          </w:p>
        </w:tc>
        <w:tc>
          <w:tcPr>
            <w:tcW w:type="dxa" w:w="58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700"/>
            <w:tcBorders>
              <w:top w:val="single" w:color="BBBBBB" w:sz="1"/>
              <w:left w:val="single" w:color="BBBBBB" w:sz="1"/>
              <w:bottom w:val="single" w:color="BBBBBB" w:sz="1"/>
              <w:right w:val="single" w:color="BBBBBB" w:sz="1"/>
            </w:tcBorders>
            <w:shd w:fill="FCE4D6" w:val="clear"/>
            <w:tcMar>
              <w:top w:type="dxa" w:w="80"/>
              <w:left w:type="dxa" w:w="100"/>
              <w:bottom w:type="dxa" w:w="80"/>
              <w:right w:type="dxa" w:w="100"/>
            </w:tcMar>
          </w:tcPr>
          <w:p>
            <w:pPr>
              <w:jc w:val="center"/>
            </w:pPr>
            <w:r>
              <w:rPr>
                <w:rFonts w:ascii="Arial" w:cs="Arial" w:eastAsia="Arial" w:hAnsi="Arial"/>
                <w:b/>
                <w:bCs/>
                <w:sz w:val="18"/>
                <w:szCs w:val="18"/>
              </w:rPr>
              <w:t xml:space="preserve">High</w:t>
            </w:r>
          </w:p>
        </w:tc>
        <w:tc>
          <w:tcPr>
            <w:tcW w:type="dxa" w:w="5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Low</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Formal regulatory submissions; compliance reports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External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As required by regulatory schedule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Full compliance with all mandated standards; no enforcement action</w:t>
            </w:r>
          </w:p>
        </w:tc>
        <w:tc>
          <w:tcPr>
            <w:tcW w:type="dxa" w:w="85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N/A – external engagement only</w:t>
            </w:r>
          </w:p>
        </w:tc>
      </w:tr>
    </w:tbl>
    <w:p>
      <w:pPr>
        <w:spacing w:before="80" w:after="80"/>
      </w:pPr>
      <w:r>
        <w:t xml:space="preserve"/>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6"/>
        <w:szCs w:val="16"/>
      </w:rPr>
      <w:t xml:space="preserve">STAKEHOLDER REGISTER  |  Core Digital Transformation for Retail Banking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6"/>
        <w:szCs w:val="16"/>
      </w:rPr>
      <w:t xml:space="preserve">STAKEHOLDER REGISTER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2026-02-17T13:06:59.515Z</dcterms:created>
  <dcterms:modified xsi:type="dcterms:W3CDTF">2026-02-17T13:06:59.516Z</dcterms:modified>
</cp:coreProperties>
</file>

<file path=docProps/custom.xml><?xml version="1.0" encoding="utf-8"?>
<Properties xmlns="http://schemas.openxmlformats.org/officeDocument/2006/custom-properties" xmlns:vt="http://schemas.openxmlformats.org/officeDocument/2006/docPropsVTypes"/>
</file>