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F4E79"/>
          <w:sz w:val="52"/>
          <w:szCs w:val="52"/>
        </w:rPr>
        <w:t xml:space="preserve">BUSINESS REQUIREMENTS DOCUMENT</w:t>
      </w:r>
    </w:p>
    <w:p>
      <w:pPr>
        <w:spacing w:before="0" w:after="60"/>
        <w:jc w:val="center"/>
      </w:pPr>
      <w:r>
        <w:rPr>
          <w:rFonts w:ascii="Arial" w:cs="Arial" w:eastAsia="Arial" w:hAnsi="Arial"/>
          <w:color w:val="2E75B6"/>
          <w:sz w:val="32"/>
          <w:szCs w:val="32"/>
        </w:rPr>
        <w:t xml:space="preserve">Core Digital Transformation for Retail Banking</w:t>
      </w:r>
    </w:p>
    <w:p>
      <w:pPr>
        <w:spacing w:before="0" w:after="360"/>
        <w:jc w:val="center"/>
      </w:pPr>
      <w:r>
        <w:rPr>
          <w:rFonts w:ascii="Arial" w:cs="Arial" w:eastAsia="Arial" w:hAnsi="Arial"/>
          <w:color w:val="555555"/>
          <w:sz w:val="22"/>
          <w:szCs w:val="22"/>
        </w:rPr>
        <w:t xml:space="preserve">Enterprise Architecture &amp; Regulatory Compliance Initiative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Project Title</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Core Digital Transformation for Retail Banking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Document Type</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Business Requirements Document (BRD)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February 17, 2026</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Prepared By</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Business Analyst / Project Manager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1.0 – Initial Release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Draft – Pending Stakeholder Review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Classification</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Confidential</w:t>
            </w:r>
          </w:p>
        </w:tc>
      </w:tr>
    </w:tbl>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1. Executive Summary</w:t>
      </w:r>
    </w:p>
    <w:p>
      <w:pPr>
        <w:spacing w:before="40" w:after="60"/>
      </w:pPr>
      <w:r>
        <w:rPr>
          <w:rFonts w:ascii="Arial" w:cs="Arial" w:eastAsia="Arial" w:hAnsi="Arial"/>
          <w:sz w:val="20"/>
          <w:szCs w:val="20"/>
        </w:rPr>
        <w:t xml:space="preserve">A major retail bank currently operates legacy systems across critical banking operations including customer onboarding, loan servicing, fraud detection, and compliance monitoring. These fragmented systems result in compliance gaps, poor data integrity, and slow service rollouts. This BRD defines the business requirements for modernizing the bank's core systems using a secure, compliant, and cloud-native architecture — unifying all operations into a single, scalable digital platform.</w:t>
      </w:r>
    </w:p>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2. Business Need &amp; Problem Statement</w:t>
      </w:r>
    </w:p>
    <w:p>
      <w:pPr>
        <w:pStyle w:val="Heading2"/>
        <w:pBdr>
          <w:bottom w:val="single" w:color="2E75B6" w:sz="4"/>
        </w:pBdr>
        <w:spacing w:before="200" w:after="80"/>
      </w:pPr>
      <w:r>
        <w:rPr>
          <w:rFonts w:ascii="Arial" w:cs="Arial" w:eastAsia="Arial" w:hAnsi="Arial"/>
          <w:b/>
          <w:bCs/>
          <w:color w:val="1F4E79"/>
          <w:sz w:val="22"/>
          <w:szCs w:val="22"/>
        </w:rPr>
        <w:t xml:space="preserve">Current State (As-Is)</w:t>
      </w:r>
    </w:p>
    <w:p>
      <w:pPr>
        <w:pStyle w:val="ListParagraph"/>
        <w:numPr>
          <w:ilvl w:val="0"/>
          <w:numId w:val="2"/>
        </w:numPr>
        <w:spacing w:before="40" w:after="40"/>
      </w:pPr>
      <w:r>
        <w:rPr>
          <w:rFonts w:ascii="Arial" w:cs="Arial" w:eastAsia="Arial" w:hAnsi="Arial"/>
          <w:sz w:val="20"/>
          <w:szCs w:val="20"/>
        </w:rPr>
        <w:t xml:space="preserve">Legacy systems with siloed databases and batch processing workflows causing processing delays.</w:t>
      </w:r>
    </w:p>
    <w:p>
      <w:pPr>
        <w:pStyle w:val="ListParagraph"/>
        <w:numPr>
          <w:ilvl w:val="0"/>
          <w:numId w:val="2"/>
        </w:numPr>
        <w:spacing w:before="40" w:after="40"/>
      </w:pPr>
      <w:r>
        <w:rPr>
          <w:rFonts w:ascii="Arial" w:cs="Arial" w:eastAsia="Arial" w:hAnsi="Arial"/>
          <w:sz w:val="20"/>
          <w:szCs w:val="20"/>
        </w:rPr>
        <w:t xml:space="preserve">Manual processes with limited real-time data visibility, increasing operational risk.</w:t>
      </w:r>
    </w:p>
    <w:p>
      <w:pPr>
        <w:pStyle w:val="ListParagraph"/>
        <w:numPr>
          <w:ilvl w:val="0"/>
          <w:numId w:val="2"/>
        </w:numPr>
        <w:spacing w:before="40" w:after="40"/>
      </w:pPr>
      <w:r>
        <w:rPr>
          <w:rFonts w:ascii="Arial" w:cs="Arial" w:eastAsia="Arial" w:hAnsi="Arial"/>
          <w:sz w:val="20"/>
          <w:szCs w:val="20"/>
        </w:rPr>
        <w:t xml:space="preserve">High risk of non-compliance with regulatory mandates (KYC, AML, PCI-DSS, GDPR).</w:t>
      </w:r>
    </w:p>
    <w:p>
      <w:pPr>
        <w:pStyle w:val="ListParagraph"/>
        <w:numPr>
          <w:ilvl w:val="0"/>
          <w:numId w:val="2"/>
        </w:numPr>
        <w:spacing w:before="40" w:after="40"/>
      </w:pPr>
      <w:r>
        <w:rPr>
          <w:rFonts w:ascii="Arial" w:cs="Arial" w:eastAsia="Arial" w:hAnsi="Arial"/>
          <w:sz w:val="20"/>
          <w:szCs w:val="20"/>
        </w:rPr>
        <w:t xml:space="preserve">Poor customer experience due to slow onboarding and loan processing times.</w:t>
      </w:r>
    </w:p>
    <w:p>
      <w:pPr>
        <w:pStyle w:val="ListParagraph"/>
        <w:numPr>
          <w:ilvl w:val="0"/>
          <w:numId w:val="2"/>
        </w:numPr>
        <w:spacing w:before="40" w:after="40"/>
      </w:pPr>
      <w:r>
        <w:rPr>
          <w:rFonts w:ascii="Arial" w:cs="Arial" w:eastAsia="Arial" w:hAnsi="Arial"/>
          <w:sz w:val="20"/>
          <w:szCs w:val="20"/>
        </w:rPr>
        <w:t xml:space="preserve">Fragmented fraud detection with delayed alerting and manual review bottlenecks.</w:t>
      </w:r>
    </w:p>
    <w:p>
      <w:pPr>
        <w:pStyle w:val="Heading2"/>
        <w:pBdr>
          <w:bottom w:val="single" w:color="2E75B6" w:sz="4"/>
        </w:pBdr>
        <w:spacing w:before="200" w:after="80"/>
      </w:pPr>
      <w:r>
        <w:rPr>
          <w:rFonts w:ascii="Arial" w:cs="Arial" w:eastAsia="Arial" w:hAnsi="Arial"/>
          <w:b/>
          <w:bCs/>
          <w:color w:val="1F4E79"/>
          <w:sz w:val="22"/>
          <w:szCs w:val="22"/>
        </w:rPr>
        <w:t xml:space="preserve">Future State (To-Be)</w:t>
      </w:r>
    </w:p>
    <w:p>
      <w:pPr>
        <w:pStyle w:val="ListParagraph"/>
        <w:numPr>
          <w:ilvl w:val="0"/>
          <w:numId w:val="2"/>
        </w:numPr>
        <w:spacing w:before="40" w:after="40"/>
      </w:pPr>
      <w:r>
        <w:rPr>
          <w:rFonts w:ascii="Arial" w:cs="Arial" w:eastAsia="Arial" w:hAnsi="Arial"/>
          <w:sz w:val="20"/>
          <w:szCs w:val="20"/>
        </w:rPr>
        <w:t xml:space="preserve">Unified cloud-native architecture using microservices and containerization.</w:t>
      </w:r>
    </w:p>
    <w:p>
      <w:pPr>
        <w:pStyle w:val="ListParagraph"/>
        <w:numPr>
          <w:ilvl w:val="0"/>
          <w:numId w:val="2"/>
        </w:numPr>
        <w:spacing w:before="40" w:after="40"/>
      </w:pPr>
      <w:r>
        <w:rPr>
          <w:rFonts w:ascii="Arial" w:cs="Arial" w:eastAsia="Arial" w:hAnsi="Arial"/>
          <w:sz w:val="20"/>
          <w:szCs w:val="20"/>
        </w:rPr>
        <w:t xml:space="preserve">Real-time data pipelines, centralized data warehouse, and secure APIs.</w:t>
      </w:r>
    </w:p>
    <w:p>
      <w:pPr>
        <w:pStyle w:val="ListParagraph"/>
        <w:numPr>
          <w:ilvl w:val="0"/>
          <w:numId w:val="2"/>
        </w:numPr>
        <w:spacing w:before="40" w:after="40"/>
      </w:pPr>
      <w:r>
        <w:rPr>
          <w:rFonts w:ascii="Arial" w:cs="Arial" w:eastAsia="Arial" w:hAnsi="Arial"/>
          <w:sz w:val="20"/>
          <w:szCs w:val="20"/>
        </w:rPr>
        <w:t xml:space="preserve">Real-time fraud detection alerts and compliance monitoring dashboards.</w:t>
      </w:r>
    </w:p>
    <w:p>
      <w:pPr>
        <w:pStyle w:val="ListParagraph"/>
        <w:numPr>
          <w:ilvl w:val="0"/>
          <w:numId w:val="2"/>
        </w:numPr>
        <w:spacing w:before="40" w:after="40"/>
      </w:pPr>
      <w:r>
        <w:rPr>
          <w:rFonts w:ascii="Arial" w:cs="Arial" w:eastAsia="Arial" w:hAnsi="Arial"/>
          <w:sz w:val="20"/>
          <w:szCs w:val="20"/>
        </w:rPr>
        <w:t xml:space="preserve">Full auditability, encryption, and role-based access controls (RBAC).</w:t>
      </w:r>
    </w:p>
    <w:p>
      <w:pPr>
        <w:pStyle w:val="ListParagraph"/>
        <w:numPr>
          <w:ilvl w:val="0"/>
          <w:numId w:val="2"/>
        </w:numPr>
        <w:spacing w:before="40" w:after="40"/>
      </w:pPr>
      <w:r>
        <w:rPr>
          <w:rFonts w:ascii="Arial" w:cs="Arial" w:eastAsia="Arial" w:hAnsi="Arial"/>
          <w:sz w:val="20"/>
          <w:szCs w:val="20"/>
        </w:rPr>
        <w:t xml:space="preserve">Streamlined customer onboarding and loan processing via automated workflows.</w:t>
      </w:r>
    </w:p>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3. Project Scope</w:t>
      </w:r>
    </w:p>
    <w:p>
      <w:pPr>
        <w:pStyle w:val="Heading2"/>
        <w:pBdr>
          <w:bottom w:val="single" w:color="2E75B6" w:sz="4"/>
        </w:pBdr>
        <w:spacing w:before="200" w:after="80"/>
      </w:pPr>
      <w:r>
        <w:rPr>
          <w:rFonts w:ascii="Arial" w:cs="Arial" w:eastAsia="Arial" w:hAnsi="Arial"/>
          <w:b/>
          <w:bCs/>
          <w:color w:val="1F4E79"/>
          <w:sz w:val="22"/>
          <w:szCs w:val="22"/>
        </w:rPr>
        <w:t xml:space="preserve">In Scope</w:t>
      </w:r>
    </w:p>
    <w:p>
      <w:pPr>
        <w:pStyle w:val="ListParagraph"/>
        <w:numPr>
          <w:ilvl w:val="0"/>
          <w:numId w:val="2"/>
        </w:numPr>
        <w:spacing w:before="40" w:after="40"/>
      </w:pPr>
      <w:r>
        <w:rPr>
          <w:rFonts w:ascii="Arial" w:cs="Arial" w:eastAsia="Arial" w:hAnsi="Arial"/>
          <w:sz w:val="20"/>
          <w:szCs w:val="20"/>
        </w:rPr>
        <w:t xml:space="preserve">Migration of all core banking applications to cloud-native microservices architecture.</w:t>
      </w:r>
    </w:p>
    <w:p>
      <w:pPr>
        <w:pStyle w:val="ListParagraph"/>
        <w:numPr>
          <w:ilvl w:val="0"/>
          <w:numId w:val="2"/>
        </w:numPr>
        <w:spacing w:before="40" w:after="40"/>
      </w:pPr>
      <w:r>
        <w:rPr>
          <w:rFonts w:ascii="Arial" w:cs="Arial" w:eastAsia="Arial" w:hAnsi="Arial"/>
          <w:sz w:val="20"/>
          <w:szCs w:val="20"/>
        </w:rPr>
        <w:t xml:space="preserve">Design and deployment of real-time data pipelines and centralized data warehouse.</w:t>
      </w:r>
    </w:p>
    <w:p>
      <w:pPr>
        <w:pStyle w:val="ListParagraph"/>
        <w:numPr>
          <w:ilvl w:val="0"/>
          <w:numId w:val="2"/>
        </w:numPr>
        <w:spacing w:before="40" w:after="40"/>
      </w:pPr>
      <w:r>
        <w:rPr>
          <w:rFonts w:ascii="Arial" w:cs="Arial" w:eastAsia="Arial" w:hAnsi="Arial"/>
          <w:sz w:val="20"/>
          <w:szCs w:val="20"/>
        </w:rPr>
        <w:t xml:space="preserve">Secure API gateway for inter-service communication and third-party integrations.</w:t>
      </w:r>
    </w:p>
    <w:p>
      <w:pPr>
        <w:pStyle w:val="ListParagraph"/>
        <w:numPr>
          <w:ilvl w:val="0"/>
          <w:numId w:val="2"/>
        </w:numPr>
        <w:spacing w:before="40" w:after="40"/>
      </w:pPr>
      <w:r>
        <w:rPr>
          <w:rFonts w:ascii="Arial" w:cs="Arial" w:eastAsia="Arial" w:hAnsi="Arial"/>
          <w:sz w:val="20"/>
          <w:szCs w:val="20"/>
        </w:rPr>
        <w:t xml:space="preserve">Fraud detection and alerting system with customer analytics dashboards.</w:t>
      </w:r>
    </w:p>
    <w:p>
      <w:pPr>
        <w:pStyle w:val="ListParagraph"/>
        <w:numPr>
          <w:ilvl w:val="0"/>
          <w:numId w:val="2"/>
        </w:numPr>
        <w:spacing w:before="40" w:after="40"/>
      </w:pPr>
      <w:r>
        <w:rPr>
          <w:rFonts w:ascii="Arial" w:cs="Arial" w:eastAsia="Arial" w:hAnsi="Arial"/>
          <w:sz w:val="20"/>
          <w:szCs w:val="20"/>
        </w:rPr>
        <w:t xml:space="preserve">Full encryption, role-based access control (RBAC), and audit logging.</w:t>
      </w:r>
    </w:p>
    <w:p>
      <w:pPr>
        <w:pStyle w:val="ListParagraph"/>
        <w:numPr>
          <w:ilvl w:val="0"/>
          <w:numId w:val="2"/>
        </w:numPr>
        <w:spacing w:before="40" w:after="40"/>
      </w:pPr>
      <w:r>
        <w:rPr>
          <w:rFonts w:ascii="Arial" w:cs="Arial" w:eastAsia="Arial" w:hAnsi="Arial"/>
          <w:sz w:val="20"/>
          <w:szCs w:val="20"/>
        </w:rPr>
        <w:t xml:space="preserve">Regulatory compliance alignment: KYC, AML, PCI-DSS, and GDPR.</w:t>
      </w:r>
    </w:p>
    <w:p>
      <w:pPr>
        <w:pStyle w:val="ListParagraph"/>
        <w:numPr>
          <w:ilvl w:val="0"/>
          <w:numId w:val="2"/>
        </w:numPr>
        <w:spacing w:before="40" w:after="40"/>
      </w:pPr>
      <w:r>
        <w:rPr>
          <w:rFonts w:ascii="Arial" w:cs="Arial" w:eastAsia="Arial" w:hAnsi="Arial"/>
          <w:sz w:val="20"/>
          <w:szCs w:val="20"/>
        </w:rPr>
        <w:t xml:space="preserve">Staff training on new systems and security protocols.</w:t>
      </w:r>
    </w:p>
    <w:p>
      <w:pPr>
        <w:pStyle w:val="Heading2"/>
        <w:pBdr>
          <w:bottom w:val="single" w:color="2E75B6" w:sz="4"/>
        </w:pBdr>
        <w:spacing w:before="200" w:after="80"/>
      </w:pPr>
      <w:r>
        <w:rPr>
          <w:rFonts w:ascii="Arial" w:cs="Arial" w:eastAsia="Arial" w:hAnsi="Arial"/>
          <w:b/>
          <w:bCs/>
          <w:color w:val="1F4E79"/>
          <w:sz w:val="22"/>
          <w:szCs w:val="22"/>
        </w:rPr>
        <w:t xml:space="preserve">Out of Scope</w:t>
      </w:r>
    </w:p>
    <w:p>
      <w:pPr>
        <w:pStyle w:val="ListParagraph"/>
        <w:numPr>
          <w:ilvl w:val="0"/>
          <w:numId w:val="2"/>
        </w:numPr>
        <w:spacing w:before="40" w:after="40"/>
      </w:pPr>
      <w:r>
        <w:rPr>
          <w:rFonts w:ascii="Arial" w:cs="Arial" w:eastAsia="Arial" w:hAnsi="Arial"/>
          <w:sz w:val="20"/>
          <w:szCs w:val="20"/>
        </w:rPr>
        <w:t xml:space="preserve">Retail branch network upgrades or physical infrastructure changes.</w:t>
      </w:r>
    </w:p>
    <w:p>
      <w:pPr>
        <w:pStyle w:val="ListParagraph"/>
        <w:numPr>
          <w:ilvl w:val="0"/>
          <w:numId w:val="2"/>
        </w:numPr>
        <w:spacing w:before="40" w:after="40"/>
      </w:pPr>
      <w:r>
        <w:rPr>
          <w:rFonts w:ascii="Arial" w:cs="Arial" w:eastAsia="Arial" w:hAnsi="Arial"/>
          <w:sz w:val="20"/>
          <w:szCs w:val="20"/>
        </w:rPr>
        <w:t xml:space="preserve">Third-party vendor product development or modifications.</w:t>
      </w:r>
    </w:p>
    <w:p>
      <w:pPr>
        <w:pStyle w:val="ListParagraph"/>
        <w:numPr>
          <w:ilvl w:val="0"/>
          <w:numId w:val="2"/>
        </w:numPr>
        <w:spacing w:before="40" w:after="40"/>
      </w:pPr>
      <w:r>
        <w:rPr>
          <w:rFonts w:ascii="Arial" w:cs="Arial" w:eastAsia="Arial" w:hAnsi="Arial"/>
          <w:sz w:val="20"/>
          <w:szCs w:val="20"/>
        </w:rPr>
        <w:t xml:space="preserve">Mobile app development (addressed in a separate parallel workstream).</w:t>
      </w:r>
    </w:p>
    <w:p>
      <w:pPr>
        <w:pStyle w:val="ListParagraph"/>
        <w:numPr>
          <w:ilvl w:val="0"/>
          <w:numId w:val="2"/>
        </w:numPr>
        <w:spacing w:before="40" w:after="40"/>
      </w:pPr>
      <w:r>
        <w:rPr>
          <w:rFonts w:ascii="Arial" w:cs="Arial" w:eastAsia="Arial" w:hAnsi="Arial"/>
          <w:sz w:val="20"/>
          <w:szCs w:val="20"/>
        </w:rPr>
        <w:t xml:space="preserve">International market expansion activities.</w:t>
      </w:r>
    </w:p>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4. 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1500"/>
        <w:gridCol w:w="11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ID</w:t>
            </w:r>
          </w:p>
        </w:tc>
        <w:tc>
          <w:tcPr>
            <w:tcW w:type="dxa" w:w="50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Objective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Domain</w:t>
            </w:r>
          </w:p>
        </w:tc>
        <w:tc>
          <w:tcPr>
            <w:tcW w:type="dxa" w:w="11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OBJ-01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Migrate to a secure, cloud-native infrastructure by Q4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Technology</w:t>
            </w:r>
          </w:p>
        </w:tc>
        <w:tc>
          <w:tcPr>
            <w:tcW w:type="dxa" w:w="11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OBJ-02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Improve customer onboarding and loan processing time by 40%.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Operations</w:t>
            </w:r>
          </w:p>
        </w:tc>
        <w:tc>
          <w:tcPr>
            <w:tcW w:type="dxa" w:w="11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OBJ-03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Achieve 100% compliance with KYC, AML, PCI-DSS, and GDPR.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Compliance</w:t>
            </w:r>
          </w:p>
        </w:tc>
        <w:tc>
          <w:tcPr>
            <w:tcW w:type="dxa" w:w="11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OBJ-04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Maintain 99.99% uptime with scalable, redundant infrastructure.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Technology</w:t>
            </w:r>
          </w:p>
        </w:tc>
        <w:tc>
          <w:tcPr>
            <w:tcW w:type="dxa" w:w="11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OBJ-05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Reduce fraud losses through real-time detection and alerting.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Risk</w:t>
            </w:r>
          </w:p>
        </w:tc>
        <w:tc>
          <w:tcPr>
            <w:tcW w:type="dxa" w:w="11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OBJ-06</w:t>
            </w:r>
          </w:p>
        </w:tc>
        <w:tc>
          <w:tcPr>
            <w:tcW w:type="dxa" w:w="5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Enable data-driven decision-making via centralized analytics.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Strategy</w:t>
            </w:r>
          </w:p>
        </w:tc>
        <w:tc>
          <w:tcPr>
            <w:tcW w:type="dxa" w:w="11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Medium</w:t>
            </w:r>
          </w:p>
        </w:tc>
      </w:tr>
    </w:tbl>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5. Assumptions</w:t>
      </w:r>
    </w:p>
    <w:p>
      <w:pPr>
        <w:pStyle w:val="ListParagraph"/>
        <w:numPr>
          <w:ilvl w:val="0"/>
          <w:numId w:val="2"/>
        </w:numPr>
        <w:spacing w:before="40" w:after="40"/>
      </w:pPr>
      <w:r>
        <w:rPr>
          <w:rFonts w:ascii="Arial" w:cs="Arial" w:eastAsia="Arial" w:hAnsi="Arial"/>
          <w:sz w:val="20"/>
          <w:szCs w:val="20"/>
        </w:rPr>
        <w:t xml:space="preserve">Executive sponsorship and budget approval remain stable throughout the project lifecycle.</w:t>
      </w:r>
    </w:p>
    <w:p>
      <w:pPr>
        <w:pStyle w:val="ListParagraph"/>
        <w:numPr>
          <w:ilvl w:val="0"/>
          <w:numId w:val="2"/>
        </w:numPr>
        <w:spacing w:before="40" w:after="40"/>
      </w:pPr>
      <w:r>
        <w:rPr>
          <w:rFonts w:ascii="Arial" w:cs="Arial" w:eastAsia="Arial" w:hAnsi="Arial"/>
          <w:sz w:val="20"/>
          <w:szCs w:val="20"/>
        </w:rPr>
        <w:t xml:space="preserve">Vendor contracts are in place and cloud environment is provisioned and secure.</w:t>
      </w:r>
    </w:p>
    <w:p>
      <w:pPr>
        <w:pStyle w:val="ListParagraph"/>
        <w:numPr>
          <w:ilvl w:val="0"/>
          <w:numId w:val="2"/>
        </w:numPr>
        <w:spacing w:before="40" w:after="40"/>
      </w:pPr>
      <w:r>
        <w:rPr>
          <w:rFonts w:ascii="Arial" w:cs="Arial" w:eastAsia="Arial" w:hAnsi="Arial"/>
          <w:sz w:val="20"/>
          <w:szCs w:val="20"/>
        </w:rPr>
        <w:t xml:space="preserve">Stakeholders are available for workshops, reviews, and validations.</w:t>
      </w:r>
    </w:p>
    <w:p>
      <w:pPr>
        <w:pStyle w:val="ListParagraph"/>
        <w:numPr>
          <w:ilvl w:val="0"/>
          <w:numId w:val="2"/>
        </w:numPr>
        <w:spacing w:before="40" w:after="40"/>
      </w:pPr>
      <w:r>
        <w:rPr>
          <w:rFonts w:ascii="Arial" w:cs="Arial" w:eastAsia="Arial" w:hAnsi="Arial"/>
          <w:sz w:val="20"/>
          <w:szCs w:val="20"/>
        </w:rPr>
        <w:t xml:space="preserve">Cloud infrastructure and licensing will be procured within the first 60 days.</w:t>
      </w:r>
    </w:p>
    <w:p>
      <w:pPr>
        <w:pStyle w:val="ListParagraph"/>
        <w:numPr>
          <w:ilvl w:val="0"/>
          <w:numId w:val="2"/>
        </w:numPr>
        <w:spacing w:before="40" w:after="40"/>
      </w:pPr>
      <w:r>
        <w:rPr>
          <w:rFonts w:ascii="Arial" w:cs="Arial" w:eastAsia="Arial" w:hAnsi="Arial"/>
          <w:sz w:val="20"/>
          <w:szCs w:val="20"/>
        </w:rPr>
        <w:t xml:space="preserve">Existing regulatory mandates (KYC, AML, PCI-DSS, GDPR) will not materially change during the project.</w:t>
      </w:r>
    </w:p>
    <w:p>
      <w:pPr>
        <w:pStyle w:val="ListParagraph"/>
        <w:numPr>
          <w:ilvl w:val="0"/>
          <w:numId w:val="2"/>
        </w:numPr>
        <w:spacing w:before="40" w:after="40"/>
      </w:pPr>
      <w:r>
        <w:rPr>
          <w:rFonts w:ascii="Arial" w:cs="Arial" w:eastAsia="Arial" w:hAnsi="Arial"/>
          <w:sz w:val="20"/>
          <w:szCs w:val="20"/>
        </w:rPr>
        <w:t xml:space="preserve">Third-party API providers will maintain service availability during integration sprints.</w:t>
      </w:r>
    </w:p>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6. Constraints</w:t>
      </w:r>
    </w:p>
    <w:p>
      <w:pPr>
        <w:pStyle w:val="ListParagraph"/>
        <w:numPr>
          <w:ilvl w:val="0"/>
          <w:numId w:val="2"/>
        </w:numPr>
        <w:spacing w:before="40" w:after="40"/>
      </w:pPr>
      <w:r>
        <w:rPr>
          <w:rFonts w:ascii="Arial" w:cs="Arial" w:eastAsia="Arial" w:hAnsi="Arial"/>
          <w:sz w:val="20"/>
          <w:szCs w:val="20"/>
        </w:rPr>
        <w:t xml:space="preserve">All regulatory compliance milestones must be met without exception.</w:t>
      </w:r>
    </w:p>
    <w:p>
      <w:pPr>
        <w:pStyle w:val="ListParagraph"/>
        <w:numPr>
          <w:ilvl w:val="0"/>
          <w:numId w:val="2"/>
        </w:numPr>
        <w:spacing w:before="40" w:after="40"/>
      </w:pPr>
      <w:r>
        <w:rPr>
          <w:rFonts w:ascii="Arial" w:cs="Arial" w:eastAsia="Arial" w:hAnsi="Arial"/>
          <w:sz w:val="20"/>
          <w:szCs w:val="20"/>
        </w:rPr>
        <w:t xml:space="preserve">Production system downtime must be minimized to approved maintenance windows only.</w:t>
      </w:r>
    </w:p>
    <w:p>
      <w:pPr>
        <w:pStyle w:val="ListParagraph"/>
        <w:numPr>
          <w:ilvl w:val="0"/>
          <w:numId w:val="2"/>
        </w:numPr>
        <w:spacing w:before="40" w:after="40"/>
      </w:pPr>
      <w:r>
        <w:rPr>
          <w:rFonts w:ascii="Arial" w:cs="Arial" w:eastAsia="Arial" w:hAnsi="Arial"/>
          <w:sz w:val="20"/>
          <w:szCs w:val="20"/>
        </w:rPr>
        <w:t xml:space="preserve">Data residency requirements must comply with applicable jurisdiction laws.</w:t>
      </w:r>
    </w:p>
    <w:p>
      <w:pPr>
        <w:pStyle w:val="ListParagraph"/>
        <w:numPr>
          <w:ilvl w:val="0"/>
          <w:numId w:val="2"/>
        </w:numPr>
        <w:spacing w:before="40" w:after="40"/>
      </w:pPr>
      <w:r>
        <w:rPr>
          <w:rFonts w:ascii="Arial" w:cs="Arial" w:eastAsia="Arial" w:hAnsi="Arial"/>
          <w:sz w:val="20"/>
          <w:szCs w:val="20"/>
        </w:rPr>
        <w:t xml:space="preserve">Project must operate within the approved annual IT budget of USD $7,920,000.</w:t>
      </w:r>
    </w:p>
    <w:p>
      <w:pPr>
        <w:pStyle w:val="ListParagraph"/>
        <w:numPr>
          <w:ilvl w:val="0"/>
          <w:numId w:val="2"/>
        </w:numPr>
        <w:spacing w:before="40" w:after="40"/>
      </w:pPr>
      <w:r>
        <w:rPr>
          <w:rFonts w:ascii="Arial" w:cs="Arial" w:eastAsia="Arial" w:hAnsi="Arial"/>
          <w:sz w:val="20"/>
          <w:szCs w:val="20"/>
        </w:rPr>
        <w:t xml:space="preserve">Resource availability may be constrained during peak business periods (e.g., quarter-end).</w:t>
      </w:r>
    </w:p>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7.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1500"/>
        <w:gridCol w:w="11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ID</w:t>
            </w:r>
          </w:p>
        </w:tc>
        <w:tc>
          <w:tcPr>
            <w:tcW w:type="dxa" w:w="50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Metric</w:t>
            </w:r>
          </w:p>
        </w:tc>
        <w:tc>
          <w:tcPr>
            <w:tcW w:type="dxa" w:w="15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Domain</w:t>
            </w:r>
          </w:p>
        </w:tc>
        <w:tc>
          <w:tcPr>
            <w:tcW w:type="dxa" w:w="11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SM-01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Zero regulatory violations post-launch in KYC, AML, PCI-DSS, and GDPR audits.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Compliance</w:t>
            </w:r>
          </w:p>
        </w:tc>
        <w:tc>
          <w:tcPr>
            <w:tcW w:type="dxa" w:w="11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SM-02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Less than 2 seconds of average API response time for all public-facing APIs.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Performance</w:t>
            </w:r>
          </w:p>
        </w:tc>
        <w:tc>
          <w:tcPr>
            <w:tcW w:type="dxa" w:w="11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SM-03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System uptime of 99.9% or greater following go-live across all production services.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Reliability</w:t>
            </w:r>
          </w:p>
        </w:tc>
        <w:tc>
          <w:tcPr>
            <w:tcW w:type="dxa" w:w="11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SM-04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Fraud detection alerts operational within 30 seconds of suspicious activity.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Security</w:t>
            </w:r>
          </w:p>
        </w:tc>
        <w:tc>
          <w:tcPr>
            <w:tcW w:type="dxa" w:w="11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SM-05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Successful CI/CD implementation with rollback functionality tested and validated.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DevOps</w:t>
            </w:r>
          </w:p>
        </w:tc>
        <w:tc>
          <w:tcPr>
            <w:tcW w:type="dxa" w:w="11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Medium</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SM-06</w:t>
            </w:r>
          </w:p>
        </w:tc>
        <w:tc>
          <w:tcPr>
            <w:tcW w:type="dxa" w:w="5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Customer satisfaction improvement of 20%+ based on post-deployment NPS survey.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CX</w:t>
            </w:r>
          </w:p>
        </w:tc>
        <w:tc>
          <w:tcPr>
            <w:tcW w:type="dxa" w:w="11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Medium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SM-07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100% of core banking systems migrated to cloud-native architecture within timeline.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Technology</w:t>
            </w:r>
          </w:p>
        </w:tc>
        <w:tc>
          <w:tcPr>
            <w:tcW w:type="dxa" w:w="11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r>
    </w:tbl>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8.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Stakeholder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Role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Interest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0000"/>
                <w:sz w:val="18"/>
                <w:szCs w:val="18"/>
              </w:rPr>
              <w:t xml:space="preserve">CEO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0000"/>
                <w:sz w:val="18"/>
                <w:szCs w:val="18"/>
              </w:rPr>
              <w:t xml:space="preserve">Executive Sponsor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0000"/>
                <w:sz w:val="18"/>
                <w:szCs w:val="18"/>
              </w:rPr>
              <w:t xml:space="preserve">Strategic compliance and growth outcomes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000000"/>
                <w:sz w:val="18"/>
                <w:szCs w:val="18"/>
              </w:rPr>
              <w:t xml:space="preserve">CIO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000000"/>
                <w:sz w:val="18"/>
                <w:szCs w:val="18"/>
              </w:rPr>
              <w:t xml:space="preserve">Project Manager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000000"/>
                <w:sz w:val="18"/>
                <w:szCs w:val="18"/>
              </w:rPr>
              <w:t xml:space="preserve">On-time, on-budget delivery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0000"/>
                <w:sz w:val="18"/>
                <w:szCs w:val="18"/>
              </w:rPr>
              <w:t xml:space="preserve">CCO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0000"/>
                <w:sz w:val="18"/>
                <w:szCs w:val="18"/>
              </w:rPr>
              <w:t xml:space="preserve">Compliance Advisor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0000"/>
                <w:sz w:val="18"/>
                <w:szCs w:val="18"/>
              </w:rPr>
              <w:t xml:space="preserve">Zero regulatory violations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000000"/>
                <w:sz w:val="18"/>
                <w:szCs w:val="18"/>
              </w:rPr>
              <w:t xml:space="preserve">Enterprise Architect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000000"/>
                <w:sz w:val="18"/>
                <w:szCs w:val="18"/>
              </w:rPr>
              <w:t xml:space="preserve">Technical Governance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000000"/>
                <w:sz w:val="18"/>
                <w:szCs w:val="18"/>
              </w:rPr>
              <w:t xml:space="preserve">Scalable, secure architecture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0000"/>
                <w:sz w:val="18"/>
                <w:szCs w:val="18"/>
              </w:rPr>
              <w:t xml:space="preserve">CISO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0000"/>
                <w:sz w:val="18"/>
                <w:szCs w:val="18"/>
              </w:rPr>
              <w:t xml:space="preserve">Security Lead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0000"/>
                <w:sz w:val="18"/>
                <w:szCs w:val="18"/>
              </w:rPr>
              <w:t xml:space="preserve">Zero breaches, RBAC operational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000000"/>
                <w:sz w:val="18"/>
                <w:szCs w:val="18"/>
              </w:rPr>
              <w:t xml:space="preserve">Data Engineering Lead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000000"/>
                <w:sz w:val="18"/>
                <w:szCs w:val="18"/>
              </w:rPr>
              <w:t xml:space="preserve">Pipeline Owner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000000"/>
                <w:sz w:val="18"/>
                <w:szCs w:val="18"/>
              </w:rPr>
              <w:t xml:space="preserve">Real-time data integrity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0000"/>
                <w:sz w:val="18"/>
                <w:szCs w:val="18"/>
              </w:rPr>
              <w:t xml:space="preserve">Business Analyst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0000"/>
                <w:sz w:val="18"/>
                <w:szCs w:val="18"/>
              </w:rPr>
              <w:t xml:space="preserve">Requirements / UAT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0000"/>
                <w:sz w:val="18"/>
                <w:szCs w:val="18"/>
              </w:rPr>
              <w:t xml:space="preserve">Validated requirements and UAT sign-off</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000000"/>
                <w:sz w:val="18"/>
                <w:szCs w:val="18"/>
              </w:rPr>
              <w:t xml:space="preserve">UX Lead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000000"/>
                <w:sz w:val="18"/>
                <w:szCs w:val="18"/>
              </w:rPr>
              <w:t xml:space="preserve">Customer Advocate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000000"/>
                <w:sz w:val="18"/>
                <w:szCs w:val="18"/>
              </w:rPr>
              <w:t xml:space="preserve">Improved onboarding NPS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0000"/>
                <w:sz w:val="18"/>
                <w:szCs w:val="18"/>
              </w:rPr>
              <w:t xml:space="preserve">External Auditor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0000"/>
                <w:sz w:val="18"/>
                <w:szCs w:val="18"/>
              </w:rPr>
              <w:t xml:space="preserve">Compliance Validator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000000"/>
                <w:sz w:val="18"/>
                <w:szCs w:val="18"/>
              </w:rPr>
              <w:t xml:space="preserve">Clean audit opinion</w:t>
            </w:r>
          </w:p>
        </w:tc>
      </w:tr>
    </w:tbl>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9. High-Level Risks</w:t>
      </w:r>
    </w:p>
    <w:p>
      <w:pPr>
        <w:pStyle w:val="ListParagraph"/>
        <w:numPr>
          <w:ilvl w:val="0"/>
          <w:numId w:val="2"/>
        </w:numPr>
        <w:spacing w:before="40" w:after="40"/>
      </w:pPr>
      <w:r>
        <w:rPr>
          <w:rFonts w:ascii="Arial" w:cs="Arial" w:eastAsia="Arial" w:hAnsi="Arial"/>
          <w:sz w:val="20"/>
          <w:szCs w:val="20"/>
        </w:rPr>
        <w:t xml:space="preserve">Data migration errors: Phased migration with parallel run validation and rollback procedures.</w:t>
      </w:r>
    </w:p>
    <w:p>
      <w:pPr>
        <w:pStyle w:val="ListParagraph"/>
        <w:numPr>
          <w:ilvl w:val="0"/>
          <w:numId w:val="2"/>
        </w:numPr>
        <w:spacing w:before="40" w:after="40"/>
      </w:pPr>
      <w:r>
        <w:rPr>
          <w:rFonts w:ascii="Arial" w:cs="Arial" w:eastAsia="Arial" w:hAnsi="Arial"/>
          <w:sz w:val="20"/>
          <w:szCs w:val="20"/>
        </w:rPr>
        <w:t xml:space="preserve">Regulatory non-compliance: Continuous compliance monitoring with dedicated Compliance Officer oversight.</w:t>
      </w:r>
    </w:p>
    <w:p>
      <w:pPr>
        <w:pStyle w:val="ListParagraph"/>
        <w:numPr>
          <w:ilvl w:val="0"/>
          <w:numId w:val="2"/>
        </w:numPr>
        <w:spacing w:before="40" w:after="40"/>
      </w:pPr>
      <w:r>
        <w:rPr>
          <w:rFonts w:ascii="Arial" w:cs="Arial" w:eastAsia="Arial" w:hAnsi="Arial"/>
          <w:sz w:val="20"/>
          <w:szCs w:val="20"/>
        </w:rPr>
        <w:t xml:space="preserve">Legacy integration failures: Thorough API testing, sandbox environments, and incremental cutover.</w:t>
      </w:r>
    </w:p>
    <w:p>
      <w:pPr>
        <w:pStyle w:val="ListParagraph"/>
        <w:numPr>
          <w:ilvl w:val="0"/>
          <w:numId w:val="2"/>
        </w:numPr>
        <w:spacing w:before="40" w:after="40"/>
      </w:pPr>
      <w:r>
        <w:rPr>
          <w:rFonts w:ascii="Arial" w:cs="Arial" w:eastAsia="Arial" w:hAnsi="Arial"/>
          <w:sz w:val="20"/>
          <w:szCs w:val="20"/>
        </w:rPr>
        <w:t xml:space="preserve">Cybersecurity breach: Zero-trust security posture, penetration testing, and 24/7 SOC monitoring.</w:t>
      </w:r>
    </w:p>
    <w:p>
      <w:pPr>
        <w:pStyle w:val="ListParagraph"/>
        <w:numPr>
          <w:ilvl w:val="0"/>
          <w:numId w:val="2"/>
        </w:numPr>
        <w:spacing w:before="40" w:after="40"/>
      </w:pPr>
      <w:r>
        <w:rPr>
          <w:rFonts w:ascii="Arial" w:cs="Arial" w:eastAsia="Arial" w:hAnsi="Arial"/>
          <w:sz w:val="20"/>
          <w:szCs w:val="20"/>
        </w:rPr>
        <w:t xml:space="preserve">Budget overrun: Strict change control process; executive approval required for all scope changes.</w:t>
      </w:r>
    </w:p>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10. Approval &amp; Sign-Off</w:t>
      </w:r>
    </w:p>
    <w:p>
      <w:pPr>
        <w:spacing w:before="40" w:after="60"/>
      </w:pPr>
      <w:r>
        <w:rPr>
          <w:rFonts w:ascii="Arial" w:cs="Arial" w:eastAsia="Arial" w:hAnsi="Arial"/>
          <w:sz w:val="20"/>
          <w:szCs w:val="20"/>
        </w:rPr>
        <w:t xml:space="preserve">By signing below, the designated approvers confirm they have reviewed the contents of this Business Requirements Document and authorize progression to the requirements elicitation and design phases.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12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Name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Title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Signature</w:t>
            </w:r>
          </w:p>
        </w:tc>
        <w:tc>
          <w:tcPr>
            <w:tcW w:type="dxa" w:w="12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Date</w:t>
            </w:r>
          </w:p>
        </w:tc>
      </w:tr>
      <w:tr>
        <w:tc>
          <w:tcPr>
            <w:tcW w:type="dxa" w:w="2700"/>
            <w:tcBorders>
              <w:top w:val="single" w:color="CCCCCC" w:sz="1"/>
              <w:left w:val="single" w:color="CCCCCC" w:sz="1"/>
              <w:bottom w:val="single" w:color="CCCCCC" w:sz="1"/>
              <w:right w:val="single" w:color="CCCCCC" w:sz="1"/>
            </w:tcBorders>
            <w:shd w:fill="FFFFFF" w:val="clear"/>
            <w:tcMar>
              <w:top w:type="dxa" w:w="240"/>
              <w:left w:type="dxa" w:w="110"/>
              <w:bottom w:type="dxa" w:w="240"/>
              <w:right w:type="dxa" w:w="110"/>
            </w:tcMar>
          </w:tcPr>
          <w:p>
            <w:r>
              <w:rPr>
                <w:rFonts w:ascii="Arial" w:cs="Arial" w:eastAsia="Arial" w:hAnsi="Arial"/>
                <w:sz w:val="20"/>
                <w:szCs w:val="20"/>
              </w:rPr>
              <w:t xml:space="preserve"/>
            </w:r>
          </w:p>
        </w:tc>
        <w:tc>
          <w:tcPr>
            <w:tcW w:type="dxa" w:w="2700"/>
            <w:tcBorders>
              <w:top w:val="single" w:color="CCCCCC" w:sz="1"/>
              <w:left w:val="single" w:color="CCCCCC" w:sz="1"/>
              <w:bottom w:val="single" w:color="CCCCCC" w:sz="1"/>
              <w:right w:val="single" w:color="CCCCCC" w:sz="1"/>
            </w:tcBorders>
            <w:shd w:fill="FFFFFF" w:val="clear"/>
            <w:tcMar>
              <w:top w:type="dxa" w:w="240"/>
              <w:left w:type="dxa" w:w="110"/>
              <w:bottom w:type="dxa" w:w="240"/>
              <w:right w:type="dxa" w:w="110"/>
            </w:tcMar>
          </w:tcPr>
          <w:p>
            <w:r>
              <w:rPr>
                <w:rFonts w:ascii="Arial" w:cs="Arial" w:eastAsia="Arial" w:hAnsi="Arial"/>
                <w:sz w:val="20"/>
                <w:szCs w:val="20"/>
              </w:rPr>
              <w:t xml:space="preserve">Chief Executive Officer</w:t>
            </w:r>
          </w:p>
        </w:tc>
        <w:tc>
          <w:tcPr>
            <w:tcW w:type="dxa" w:w="2700"/>
            <w:tcBorders>
              <w:top w:val="single" w:color="CCCCCC" w:sz="1"/>
              <w:left w:val="single" w:color="CCCCCC" w:sz="1"/>
              <w:bottom w:val="single" w:color="CCCCCC" w:sz="1"/>
              <w:right w:val="single" w:color="CCCCCC" w:sz="1"/>
            </w:tcBorders>
            <w:shd w:fill="FFFFFF" w:val="clear"/>
            <w:tcMar>
              <w:top w:type="dxa" w:w="240"/>
              <w:left w:type="dxa" w:w="110"/>
              <w:bottom w:type="dxa" w:w="240"/>
              <w:right w:type="dxa" w:w="110"/>
            </w:tcMar>
          </w:tcPr>
          <w:p>
            <w:r>
              <w:rPr>
                <w:rFonts w:ascii="Arial" w:cs="Arial" w:eastAsia="Arial" w:hAnsi="Arial"/>
                <w:sz w:val="20"/>
                <w:szCs w:val="20"/>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240"/>
              <w:left w:type="dxa" w:w="110"/>
              <w:bottom w:type="dxa" w:w="240"/>
              <w:right w:type="dxa" w:w="110"/>
            </w:tcMar>
          </w:tcPr>
          <w:p>
            <w:r>
              <w:rPr>
                <w:rFonts w:ascii="Arial" w:cs="Arial" w:eastAsia="Arial" w:hAnsi="Arial"/>
                <w:sz w:val="20"/>
                <w:szCs w:val="20"/>
              </w:rPr>
              <w:t xml:space="preserve"/>
            </w:r>
          </w:p>
        </w:tc>
      </w:tr>
      <w:tr>
        <w:tc>
          <w:tcPr>
            <w:tcW w:type="dxa" w:w="2700"/>
            <w:tcBorders>
              <w:top w:val="single" w:color="CCCCCC" w:sz="1"/>
              <w:left w:val="single" w:color="CCCCCC" w:sz="1"/>
              <w:bottom w:val="single" w:color="CCCCCC" w:sz="1"/>
              <w:right w:val="single" w:color="CCCCCC" w:sz="1"/>
            </w:tcBorders>
            <w:shd w:fill="F2F2F2" w:val="clear"/>
            <w:tcMar>
              <w:top w:type="dxa" w:w="240"/>
              <w:left w:type="dxa" w:w="110"/>
              <w:bottom w:type="dxa" w:w="240"/>
              <w:right w:type="dxa" w:w="110"/>
            </w:tcMar>
          </w:tcPr>
          <w:p>
            <w:r>
              <w:rPr>
                <w:rFonts w:ascii="Arial" w:cs="Arial" w:eastAsia="Arial" w:hAnsi="Arial"/>
                <w:sz w:val="20"/>
                <w:szCs w:val="20"/>
              </w:rPr>
              <w:t xml:space="preserve"/>
            </w:r>
          </w:p>
        </w:tc>
        <w:tc>
          <w:tcPr>
            <w:tcW w:type="dxa" w:w="2700"/>
            <w:tcBorders>
              <w:top w:val="single" w:color="CCCCCC" w:sz="1"/>
              <w:left w:val="single" w:color="CCCCCC" w:sz="1"/>
              <w:bottom w:val="single" w:color="CCCCCC" w:sz="1"/>
              <w:right w:val="single" w:color="CCCCCC" w:sz="1"/>
            </w:tcBorders>
            <w:shd w:fill="F2F2F2" w:val="clear"/>
            <w:tcMar>
              <w:top w:type="dxa" w:w="240"/>
              <w:left w:type="dxa" w:w="110"/>
              <w:bottom w:type="dxa" w:w="240"/>
              <w:right w:type="dxa" w:w="110"/>
            </w:tcMar>
          </w:tcPr>
          <w:p>
            <w:r>
              <w:rPr>
                <w:rFonts w:ascii="Arial" w:cs="Arial" w:eastAsia="Arial" w:hAnsi="Arial"/>
                <w:sz w:val="20"/>
                <w:szCs w:val="20"/>
              </w:rPr>
              <w:t xml:space="preserve">Chief Information Officer</w:t>
            </w:r>
          </w:p>
        </w:tc>
        <w:tc>
          <w:tcPr>
            <w:tcW w:type="dxa" w:w="2700"/>
            <w:tcBorders>
              <w:top w:val="single" w:color="CCCCCC" w:sz="1"/>
              <w:left w:val="single" w:color="CCCCCC" w:sz="1"/>
              <w:bottom w:val="single" w:color="CCCCCC" w:sz="1"/>
              <w:right w:val="single" w:color="CCCCCC" w:sz="1"/>
            </w:tcBorders>
            <w:shd w:fill="F2F2F2" w:val="clear"/>
            <w:tcMar>
              <w:top w:type="dxa" w:w="240"/>
              <w:left w:type="dxa" w:w="110"/>
              <w:bottom w:type="dxa" w:w="240"/>
              <w:right w:type="dxa" w:w="110"/>
            </w:tcMar>
          </w:tcPr>
          <w:p>
            <w:r>
              <w:rPr>
                <w:rFonts w:ascii="Arial" w:cs="Arial" w:eastAsia="Arial" w:hAnsi="Arial"/>
                <w:sz w:val="20"/>
                <w:szCs w:val="20"/>
              </w:rPr>
              <w:t xml:space="preserve"/>
            </w:r>
          </w:p>
        </w:tc>
        <w:tc>
          <w:tcPr>
            <w:tcW w:type="dxa" w:w="1260"/>
            <w:tcBorders>
              <w:top w:val="single" w:color="CCCCCC" w:sz="1"/>
              <w:left w:val="single" w:color="CCCCCC" w:sz="1"/>
              <w:bottom w:val="single" w:color="CCCCCC" w:sz="1"/>
              <w:right w:val="single" w:color="CCCCCC" w:sz="1"/>
            </w:tcBorders>
            <w:shd w:fill="F2F2F2" w:val="clear"/>
            <w:tcMar>
              <w:top w:type="dxa" w:w="240"/>
              <w:left w:type="dxa" w:w="110"/>
              <w:bottom w:type="dxa" w:w="240"/>
              <w:right w:type="dxa" w:w="110"/>
            </w:tcMar>
          </w:tcPr>
          <w:p>
            <w:r>
              <w:rPr>
                <w:rFonts w:ascii="Arial" w:cs="Arial" w:eastAsia="Arial" w:hAnsi="Arial"/>
                <w:sz w:val="20"/>
                <w:szCs w:val="20"/>
              </w:rPr>
              <w:t xml:space="preserve"/>
            </w:r>
          </w:p>
        </w:tc>
      </w:tr>
      <w:tr>
        <w:tc>
          <w:tcPr>
            <w:tcW w:type="dxa" w:w="2700"/>
            <w:tcBorders>
              <w:top w:val="single" w:color="CCCCCC" w:sz="1"/>
              <w:left w:val="single" w:color="CCCCCC" w:sz="1"/>
              <w:bottom w:val="single" w:color="CCCCCC" w:sz="1"/>
              <w:right w:val="single" w:color="CCCCCC" w:sz="1"/>
            </w:tcBorders>
            <w:shd w:fill="FFFFFF" w:val="clear"/>
            <w:tcMar>
              <w:top w:type="dxa" w:w="240"/>
              <w:left w:type="dxa" w:w="110"/>
              <w:bottom w:type="dxa" w:w="240"/>
              <w:right w:type="dxa" w:w="110"/>
            </w:tcMar>
          </w:tcPr>
          <w:p>
            <w:r>
              <w:rPr>
                <w:rFonts w:ascii="Arial" w:cs="Arial" w:eastAsia="Arial" w:hAnsi="Arial"/>
                <w:sz w:val="20"/>
                <w:szCs w:val="20"/>
              </w:rPr>
              <w:t xml:space="preserve"/>
            </w:r>
          </w:p>
        </w:tc>
        <w:tc>
          <w:tcPr>
            <w:tcW w:type="dxa" w:w="2700"/>
            <w:tcBorders>
              <w:top w:val="single" w:color="CCCCCC" w:sz="1"/>
              <w:left w:val="single" w:color="CCCCCC" w:sz="1"/>
              <w:bottom w:val="single" w:color="CCCCCC" w:sz="1"/>
              <w:right w:val="single" w:color="CCCCCC" w:sz="1"/>
            </w:tcBorders>
            <w:shd w:fill="FFFFFF" w:val="clear"/>
            <w:tcMar>
              <w:top w:type="dxa" w:w="240"/>
              <w:left w:type="dxa" w:w="110"/>
              <w:bottom w:type="dxa" w:w="240"/>
              <w:right w:type="dxa" w:w="110"/>
            </w:tcMar>
          </w:tcPr>
          <w:p>
            <w:r>
              <w:rPr>
                <w:rFonts w:ascii="Arial" w:cs="Arial" w:eastAsia="Arial" w:hAnsi="Arial"/>
                <w:sz w:val="20"/>
                <w:szCs w:val="20"/>
              </w:rPr>
              <w:t xml:space="preserve">Chief Compliance Officer</w:t>
            </w:r>
          </w:p>
        </w:tc>
        <w:tc>
          <w:tcPr>
            <w:tcW w:type="dxa" w:w="2700"/>
            <w:tcBorders>
              <w:top w:val="single" w:color="CCCCCC" w:sz="1"/>
              <w:left w:val="single" w:color="CCCCCC" w:sz="1"/>
              <w:bottom w:val="single" w:color="CCCCCC" w:sz="1"/>
              <w:right w:val="single" w:color="CCCCCC" w:sz="1"/>
            </w:tcBorders>
            <w:shd w:fill="FFFFFF" w:val="clear"/>
            <w:tcMar>
              <w:top w:type="dxa" w:w="240"/>
              <w:left w:type="dxa" w:w="110"/>
              <w:bottom w:type="dxa" w:w="240"/>
              <w:right w:type="dxa" w:w="110"/>
            </w:tcMar>
          </w:tcPr>
          <w:p>
            <w:r>
              <w:rPr>
                <w:rFonts w:ascii="Arial" w:cs="Arial" w:eastAsia="Arial" w:hAnsi="Arial"/>
                <w:sz w:val="20"/>
                <w:szCs w:val="20"/>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240"/>
              <w:left w:type="dxa" w:w="110"/>
              <w:bottom w:type="dxa" w:w="240"/>
              <w:right w:type="dxa" w:w="110"/>
            </w:tcMar>
          </w:tcPr>
          <w:p>
            <w:r>
              <w:rPr>
                <w:rFonts w:ascii="Arial" w:cs="Arial" w:eastAsia="Arial" w:hAnsi="Arial"/>
                <w:sz w:val="20"/>
                <w:szCs w:val="20"/>
              </w:rPr>
              <w:t xml:space="preserve"/>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60"/>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0"/>
    </w:pPr>
    <w:r>
      <w:rPr>
        <w:rFonts w:ascii="Arial" w:cs="Arial" w:eastAsia="Arial" w:hAnsi="Arial"/>
        <w:color w:val="888888"/>
        <w:sz w:val="16"/>
        <w:szCs w:val="16"/>
      </w:rPr>
      <w:t xml:space="preserve">BUSINESS REQUIREMENTS DOCUMENT  |  Core Digital Transformation for Retail Banking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2026-02-17T13:32:14.796Z</dcterms:created>
  <dcterms:modified xsi:type="dcterms:W3CDTF">2026-02-17T13:32:14.797Z</dcterms:modified>
</cp:coreProperties>
</file>

<file path=docProps/custom.xml><?xml version="1.0" encoding="utf-8"?>
<Properties xmlns="http://schemas.openxmlformats.org/officeDocument/2006/custom-properties" xmlns:vt="http://schemas.openxmlformats.org/officeDocument/2006/docPropsVTypes"/>
</file>