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4E79"/>
          <w:sz w:val="52"/>
          <w:szCs w:val="52"/>
        </w:rPr>
        <w:t xml:space="preserve">REQUIREMENTS DOCUMENT</w:t>
      </w:r>
    </w:p>
    <w:p>
      <w:pPr>
        <w:spacing w:before="0" w:after="60"/>
        <w:jc w:val="center"/>
      </w:pPr>
      <w:r>
        <w:rPr>
          <w:rFonts w:ascii="Arial" w:cs="Arial" w:eastAsia="Arial" w:hAnsi="Arial"/>
          <w:color w:val="2E75B6"/>
          <w:sz w:val="32"/>
          <w:szCs w:val="32"/>
        </w:rPr>
        <w:t xml:space="preserve">Core Digital Transformation for Retail Banking</w:t>
      </w:r>
    </w:p>
    <w:p>
      <w:pPr>
        <w:spacing w:before="0" w:after="360"/>
        <w:jc w:val="center"/>
      </w:pPr>
      <w:r>
        <w:rPr>
          <w:rFonts w:ascii="Arial" w:cs="Arial" w:eastAsia="Arial" w:hAnsi="Arial"/>
          <w:color w:val="555555"/>
          <w:sz w:val="22"/>
          <w:szCs w:val="22"/>
        </w:rPr>
        <w:t xml:space="preserve">Functional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Project Title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Core Digital Transformation for Retail Banking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Requirements Document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February 17, 2026</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Business Analyst / Project Manager</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1.0 – Initial Release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Draft – Pending Stakeholder Review</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20"/>
                <w:szCs w:val="20"/>
              </w:rPr>
              <w:t xml:space="preserve">Confidential</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1. Purpose</w:t>
      </w:r>
    </w:p>
    <w:p>
      <w:pPr>
        <w:spacing w:before="40" w:after="60"/>
      </w:pPr>
      <w:r>
        <w:rPr>
          <w:rFonts w:ascii="Arial" w:cs="Arial" w:eastAsia="Arial" w:hAnsi="Arial"/>
          <w:sz w:val="20"/>
          <w:szCs w:val="20"/>
        </w:rPr>
        <w:t xml:space="preserve">This Requirements Document captures all functional and non-functional requirements gathered from key banking stakeholders through structured interviews and workshops. It serves as the authoritative reference for system design, development, testing, and compliance validation across the Core Digital Transformation for Retail Banking project. All requirements are traceable to business objectives and regulatory mandates.</w:t>
      </w:r>
    </w:p>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2. Requirements Elicitation Approach</w:t>
      </w:r>
    </w:p>
    <w:p>
      <w:pPr>
        <w:spacing w:before="40" w:after="60"/>
      </w:pPr>
      <w:r>
        <w:rPr>
          <w:rFonts w:ascii="Arial" w:cs="Arial" w:eastAsia="Arial" w:hAnsi="Arial"/>
          <w:sz w:val="20"/>
          <w:szCs w:val="20"/>
        </w:rPr>
        <w:t xml:space="preserve">Requirements were elicited from the following stakeholder groups using the methods outlined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Stakeholder Group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Method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Focus Areas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Product Owners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Interviews + Workshops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Business logic for onboarding, transaction flow, loan approval, and fraud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sz w:val="18"/>
                <w:szCs w:val="18"/>
              </w:rPr>
              <w:t xml:space="preserve">Compliance Teams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Document Review + Interviews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Audit trail requirements, KYC/AML data governance, PCI-DSS and GDPR reporting standards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DevOps Engineers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Technical Workshops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CI/CD pipeline needs, monitoring requirements, security enforcement, and deployment frequency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sz w:val="18"/>
                <w:szCs w:val="18"/>
              </w:rPr>
              <w:t xml:space="preserve">Customers (Sample)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Surveys + Focus Groups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Service reliability expectations, digital experience quality, and access control preferences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sz w:val="18"/>
                <w:szCs w:val="18"/>
              </w:rPr>
              <w:t xml:space="preserve">Security Officers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Threat Modelling Sessions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Zero-trust posture, encryption standards, RBAC design, and incident response workflows</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3. Functional Requirements (FR)</w:t>
      </w:r>
    </w:p>
    <w:p>
      <w:pPr>
        <w:spacing w:before="40" w:after="60"/>
      </w:pPr>
      <w:r>
        <w:rPr>
          <w:rFonts w:ascii="Arial" w:cs="Arial" w:eastAsia="Arial" w:hAnsi="Arial"/>
          <w:sz w:val="20"/>
          <w:szCs w:val="20"/>
        </w:rPr>
        <w:t xml:space="preserve">Functional requirements define specific behaviors the system must perform. Each requirement is mapped to its originating stakeholder group and assigned a priority level.</w:t>
      </w:r>
    </w:p>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3.1 Customer Onboarding &amp; Account Management</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Customers can securely register and onboard via web and mobile apps with identity verification and KYC checks completed in real time.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 / Customers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FR-02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Customers can manage account settings, view statements, and update personal information through a self-service portal.</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 / Customers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system must send automated notifications (email/SMS) for account actions, transaction alerts, and compliance events.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FR-04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Customer onboarding must be completed within 5 minutes end-to-end under normal operating conditions.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 / Customers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3.2 Compliance &amp; Audit</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 staff can access real-time audit logs and KYC/AML reports via a dedicated compliance dashboard.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 Teams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FR-06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The system must automatically flag transactions that trigger AML rules and route them to compliance review queues.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Compliance Teams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All data processing activities must be logged with a full audit trail including user, timestamp, action, and data modified.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 Teams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FR-08</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The system must support automated GDPR data subject access and deletion requests within mandated response timeframes.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Compliance Teams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PCI-DSS compliant cardholder data environment must be isolated from non-payment systems with strict access controls.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 / Security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3.3 Loan Servicing &amp; Transaction Processing</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 can configure loan approval workflows, eligibility rules, and interest rate parameters without code changes.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FR-11</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The system must process payment transactions in real time with confirmation delivered within 500ms at the 95th percentile.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 / Customers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Loan applications must be processed end-to-end — from submission through decision and disbursement — within 24 hours.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FR-13</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The system must support automated credit scoring integration with third-party bureau APIs.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3.4 Fraud Detection &amp; Alerting</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fraud detection engine must generate alerts within 30 seconds of identifying suspicious transaction patterns.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 / Security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FR-15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Fraud detection rules must be configurable by authorized staff without system downtime or code deployments.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system must provide a fraud case management dashboard with investigation workflow, evidence capture, and resolution tracking.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Compliance / Security</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3.5 DevOps &amp; Deployment</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engineers can automate builds, tests, and deployment pipelines using a CI/CD platform integrated with the version control system.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FR-18</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Every deployment must include automated rollback capability triggered by failed health checks within 2 minutes of detection.</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FR-19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system must support blue-green and canary deployment strategies to enable zero-downtime releases.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FR-20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Infrastructure as Code (IaC) must be used for all environment provisioning to ensure consistency and auditability.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4. Non-Functional Requirements (NFR)</w:t>
      </w:r>
    </w:p>
    <w:p>
      <w:pPr>
        <w:spacing w:before="40" w:after="60"/>
      </w:pPr>
      <w:r>
        <w:rPr>
          <w:rFonts w:ascii="Arial" w:cs="Arial" w:eastAsia="Arial" w:hAnsi="Arial"/>
          <w:sz w:val="20"/>
          <w:szCs w:val="20"/>
        </w:rPr>
        <w:t xml:space="preserve">Non-functional requirements define the quality attributes, performance standards, and operational constraints the system must satisfy. These apply system-wide unless otherwise specified.</w:t>
      </w:r>
    </w:p>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4.1 Performance</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Less than 2 seconds average API response time for all public-facing APIs under normal load conditions.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 Customers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NFR-02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Transaction processing latency must not exceed 500ms at the 95th percentile for all payment operations.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system must support a minimum of 10,000 concurrent users without performance degradation.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NFR-04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Database query response times must not exceed 200ms for 99% of queries under peak load.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4.2 Availability &amp; Reliability</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System must achieve 99.99% uptime across all core services, measured on a rolling 30-day basis.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 Product Owners</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NFR-06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Mean Time To Recovery (MTTR) from any production incident must be under 15 minutes.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All critical services must be deployed across multiple geographic availability zones to prevent single points of failure.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 Security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NFR-08</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Automated failover must activate within 60 seconds of any primary service failure without manual intervention.</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4.3 Security &amp; Compliance</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All data at rest and in transit must comply with bank-grade AES-256 encryption policies.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Security / Compliance</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NFR-10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Role-based access control (RBAC) must be implemented across all systems with least-privilege principles enforced.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Security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Multi-factor authentication (MFA) must be enforced for all administrative and privileged user accounts.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Security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NFR-12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Annual penetration testing and quarterly vulnerability assessments must be conducted by a qualified third party.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Security / Compliance</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All access to sensitive data must be logged and monitored with anomaly detection alerts sent within 5 minutes.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Security</w:t>
            </w:r>
          </w:p>
        </w:tc>
        <w:tc>
          <w:tcPr>
            <w:tcW w:type="dxa" w:w="9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4.4 Scalability &amp; Maintainability</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architecture must support horizontal auto-scaling to handle 3x peak traffic without manual intervention.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DevOps / Product Owners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NFR-15</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All microservices must be independently deployable and versioned to enable rolling updates without system-wide downtime.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DevOps Engineers</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NFR-16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The system must support configuration management without code changes for non-technical business rule updates.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Product Owners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2"/>
        <w:pBdr>
          <w:bottom w:val="single" w:color="2E75B6" w:sz="4"/>
        </w:pBdr>
        <w:spacing w:before="200" w:after="80"/>
      </w:pPr>
      <w:r>
        <w:rPr>
          <w:rFonts w:ascii="Arial" w:cs="Arial" w:eastAsia="Arial" w:hAnsi="Arial"/>
          <w:b/>
          <w:bCs/>
          <w:color w:val="1F4E79"/>
          <w:sz w:val="22"/>
          <w:szCs w:val="22"/>
        </w:rPr>
        <w:t xml:space="preserve">4.5 Usability &amp; Accessibility</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20"/>
        <w:gridCol w:w="3800"/>
        <w:gridCol w:w="1680"/>
        <w:gridCol w:w="900"/>
        <w:gridCol w:w="880"/>
      </w:tblGrid>
      <w:tr>
        <w:trPr>
          <w:tblHeader/>
        </w:trPr>
        <w:tc>
          <w:tcPr>
            <w:tcW w:type="dxa" w:w="82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Requirement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Source</w:t>
            </w:r>
          </w:p>
        </w:tc>
        <w:tc>
          <w:tcPr>
            <w:tcW w:type="dxa" w:w="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88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Status</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All customer-facing interfaces must comply with WCAG 2.1 AA accessibility standards.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Customers / UX Lead</w:t>
            </w:r>
          </w:p>
        </w:tc>
        <w:tc>
          <w:tcPr>
            <w:tcW w:type="dxa" w:w="9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bCs/>
                <w:color w:val="1F4E79"/>
                <w:sz w:val="18"/>
                <w:szCs w:val="18"/>
              </w:rPr>
              <w:t xml:space="preserve">NFR-18</w:t>
            </w:r>
          </w:p>
        </w:tc>
        <w:tc>
          <w:tcPr>
            <w:tcW w:type="dxa" w:w="3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Customer satisfaction improvement of 20% or more must be achieved based on post-deployment NPS survey.</w:t>
            </w:r>
          </w:p>
        </w:tc>
        <w:tc>
          <w:tcPr>
            <w:tcW w:type="dxa" w:w="16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Product Owners / Customers</w:t>
            </w:r>
          </w:p>
        </w:tc>
        <w:tc>
          <w:tcPr>
            <w:tcW w:type="dxa" w:w="9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8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color w:val="555555"/>
                <w:sz w:val="18"/>
                <w:szCs w:val="18"/>
              </w:rPr>
              <w:t xml:space="preserve">Approved</w:t>
            </w:r>
          </w:p>
        </w:tc>
      </w:tr>
      <w:tr>
        <w:tc>
          <w:tcPr>
            <w:tcW w:type="dxa" w:w="8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F4E79"/>
                <w:sz w:val="18"/>
                <w:szCs w:val="18"/>
              </w:rPr>
              <w:t xml:space="preserve">NFR-19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Staff must be able to complete training on new systems and pass competency assessment within 4 hours.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HR / Operations</w:t>
            </w:r>
          </w:p>
        </w:tc>
        <w:tc>
          <w:tcPr>
            <w:tcW w:type="dxa" w:w="9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8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555555"/>
                <w:sz w:val="18"/>
                <w:szCs w:val="18"/>
              </w:rPr>
              <w:t xml:space="preserve">Approved</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5.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gridCol w:w="12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Critical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Medium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Functional – Onboarding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Functional – Compliance &amp; Audit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Functional – Loan &amp; Transactions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Functional – Fraud Detection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Functional – DevOps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NFR – Performance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NFR – Availability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NFR – Security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18"/>
                <w:szCs w:val="18"/>
              </w:rPr>
              <w:t xml:space="preserve">NFR – Scalability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NFR – Usability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2</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1F4E79"/>
                <w:sz w:val="18"/>
                <w:szCs w:val="18"/>
              </w:rPr>
              <w:t xml:space="preserve">TOTAL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pPr>
              <w:jc w:val="center"/>
            </w:pPr>
            <w:r>
              <w:rPr>
                <w:rFonts w:ascii="Arial" w:cs="Arial" w:eastAsia="Arial" w:hAnsi="Arial"/>
                <w:b/>
                <w:bCs/>
                <w:color w:val="1F4E79"/>
                <w:sz w:val="18"/>
                <w:szCs w:val="18"/>
              </w:rPr>
              <w:t xml:space="preserve">39</w:t>
            </w:r>
          </w:p>
        </w:tc>
        <w:tc>
          <w:tcPr>
            <w:tcW w:type="dxa" w:w="1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17</w:t>
            </w:r>
          </w:p>
        </w:tc>
        <w:tc>
          <w:tcPr>
            <w:tcW w:type="dxa" w:w="1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16</w:t>
            </w:r>
          </w:p>
        </w:tc>
        <w:tc>
          <w:tcPr>
            <w:tcW w:type="dxa" w:w="1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6</w:t>
            </w:r>
          </w:p>
        </w:tc>
      </w:tr>
    </w:tbl>
    <w:p>
      <w:pPr>
        <w:spacing w:before="60" w:after="60"/>
      </w:pPr>
      <w:r>
        <w:t xml:space="preserve"/>
      </w:r>
    </w:p>
    <w:p>
      <w:pPr>
        <w:pStyle w:val="Heading1"/>
        <w:shd w:fill="1F4E79" w:val="clear"/>
        <w:spacing w:before="280" w:after="120"/>
        <w:ind w:left="120" w:right="120"/>
      </w:pPr>
      <w:r>
        <w:rPr>
          <w:rFonts w:ascii="Arial" w:cs="Arial" w:eastAsia="Arial" w:hAnsi="Arial"/>
          <w:b/>
          <w:bCs/>
          <w:color w:val="FFFFFF"/>
          <w:sz w:val="28"/>
          <w:szCs w:val="28"/>
        </w:rPr>
        <w:t xml:space="preserve">6. 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Priority</w:t>
            </w:r>
          </w:p>
        </w:tc>
        <w:tc>
          <w:tcPr>
            <w:tcW w:type="dxa" w:w="79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18"/>
                <w:szCs w:val="18"/>
              </w:rPr>
              <w:t xml:space="preserve">Definition</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10"/>
              <w:bottom w:type="dxa" w:w="80"/>
              <w:right w:type="dxa" w:w="110"/>
            </w:tcMar>
          </w:tcPr>
          <w:p>
            <w:pPr>
              <w:jc w:val="center"/>
            </w:pPr>
            <w:r>
              <w:rPr>
                <w:rFonts w:ascii="Arial" w:cs="Arial" w:eastAsia="Arial" w:hAnsi="Arial"/>
                <w:b/>
                <w:bCs/>
                <w:color w:val="833C00"/>
                <w:sz w:val="18"/>
                <w:szCs w:val="18"/>
              </w:rPr>
              <w:t xml:space="preserve">Critical</w:t>
            </w:r>
          </w:p>
        </w:tc>
        <w:tc>
          <w:tcPr>
            <w:tcW w:type="dxa" w:w="79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18"/>
                <w:szCs w:val="18"/>
              </w:rPr>
              <w:t xml:space="preserve">Must be implemented for go-live. Failure to deliver constitutes project failure or regulatory breach.</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10"/>
              <w:bottom w:type="dxa" w:w="80"/>
              <w:right w:type="dxa" w:w="110"/>
            </w:tcMar>
          </w:tcPr>
          <w:p>
            <w:pPr>
              <w:jc w:val="center"/>
            </w:pPr>
            <w:r>
              <w:rPr>
                <w:rFonts w:ascii="Arial" w:cs="Arial" w:eastAsia="Arial" w:hAnsi="Arial"/>
                <w:b/>
                <w:bCs/>
                <w:color w:val="7F6000"/>
                <w:sz w:val="18"/>
                <w:szCs w:val="18"/>
              </w:rPr>
              <w:t xml:space="preserve">High</w:t>
            </w:r>
          </w:p>
        </w:tc>
        <w:tc>
          <w:tcPr>
            <w:tcW w:type="dxa" w:w="79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18"/>
                <w:szCs w:val="18"/>
              </w:rPr>
              <w:t xml:space="preserve">Required for full business value. Should be delivered in initial release; deferral requires executive approval.</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jc w:val="center"/>
            </w:pPr>
            <w:r>
              <w:rPr>
                <w:rFonts w:ascii="Arial" w:cs="Arial" w:eastAsia="Arial" w:hAnsi="Arial"/>
                <w:b/>
                <w:bCs/>
                <w:color w:val="375623"/>
                <w:sz w:val="18"/>
                <w:szCs w:val="18"/>
              </w:rPr>
              <w:t xml:space="preserve">Medium</w:t>
            </w:r>
          </w:p>
        </w:tc>
        <w:tc>
          <w:tcPr>
            <w:tcW w:type="dxa" w:w="7960"/>
            <w:tcBorders>
              <w:top w:val="single" w:color="CCCCCC" w:sz="1"/>
              <w:left w:val="single" w:color="CCCCCC" w:sz="1"/>
              <w:bottom w:val="single" w:color="CCCCCC" w:sz="1"/>
              <w:right w:val="single" w:color="CCCCCC" w:sz="1"/>
            </w:tcBorders>
            <w:tcMar>
              <w:top w:type="dxa" w:w="80"/>
              <w:left w:type="dxa" w:w="110"/>
              <w:bottom w:type="dxa" w:w="80"/>
              <w:right w:type="dxa" w:w="110"/>
            </w:tcMar>
          </w:tcPr>
          <w:p>
            <w:r>
              <w:rPr>
                <w:rFonts w:ascii="Arial" w:cs="Arial" w:eastAsia="Arial" w:hAnsi="Arial"/>
                <w:sz w:val="18"/>
                <w:szCs w:val="18"/>
              </w:rPr>
              <w:t xml:space="preserve">Desirable for user experience or operational efficiency. May be deferred to a subsequent release if necessary.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60"/>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0"/>
    </w:pPr>
    <w:r>
      <w:rPr>
        <w:rFonts w:ascii="Arial" w:cs="Arial" w:eastAsia="Arial" w:hAnsi="Arial"/>
        <w:color w:val="888888"/>
        <w:sz w:val="16"/>
        <w:szCs w:val="16"/>
      </w:rPr>
      <w:t xml:space="preserve">REQUIREMENTS DOCUMENT  |  Core Digital Transformation for Retail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2026-02-17T13:32:14.997Z</dcterms:created>
  <dcterms:modified xsi:type="dcterms:W3CDTF">2026-02-17T13:32:14.998Z</dcterms:modified>
</cp:coreProperties>
</file>

<file path=docProps/custom.xml><?xml version="1.0" encoding="utf-8"?>
<Properties xmlns="http://schemas.openxmlformats.org/officeDocument/2006/custom-properties" xmlns:vt="http://schemas.openxmlformats.org/officeDocument/2006/docPropsVTypes"/>
</file>