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Documentation Review Package</w:t>
      </w:r>
    </w:p>
    <w:p>
      <w:pPr>
        <w:pBdr>
          <w:bottom w:val="single" w:color="1F3864" w:sz="8" w:space="8"/>
        </w:pBdr>
        <w:spacing w:after="240"/>
      </w:pPr>
      <w:r>
        <w:rPr>
          <w:rFonts w:ascii="Calibri" w:cs="Calibri" w:eastAsia="Calibri" w:hAnsi="Calibri"/>
          <w:color w:val="595959"/>
          <w:sz w:val="24"/>
          <w:szCs w:val="24"/>
        </w:rPr>
        <w:t xml:space="preserve">Pre-sign-off quality review of a Dragon Copilot draft clinical encounter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9CED6" w:sz="4"/>
              <w:left w:val="single" w:color="C9CED6" w:sz="4"/>
              <w:bottom w:val="single" w:color="C9CED6" w:sz="4"/>
              <w:right w:val="single" w:color="C9CED6" w:sz="4"/>
            </w:tcBorders>
            <w:shd w:fill="EEF2F8" w:color="auto" w:val="clear"/>
            <w:tcMar>
              <w:top w:type="dxa" w:w="80"/>
              <w:left w:type="dxa" w:w="110"/>
              <w:bottom w:type="dxa" w:w="80"/>
              <w:right w:type="dxa" w:w="110"/>
            </w:tcMar>
            <w:vAlign w:val="top"/>
          </w:tcPr>
          <w:p>
            <w:pPr>
              <w:spacing w:after="40" w:line="252"/>
            </w:pPr>
            <w:r>
              <w:rPr>
                <w:rFonts w:ascii="Calibri" w:cs="Calibri" w:eastAsia="Calibri" w:hAnsi="Calibri"/>
                <w:b/>
                <w:bCs/>
                <w:sz w:val="19"/>
                <w:szCs w:val="19"/>
              </w:rPr>
              <w:t xml:space="preserve">Patient</w:t>
            </w:r>
          </w:p>
        </w:tc>
        <w:tc>
          <w:tcPr>
            <w:tcW w:type="dxa" w:w="7060"/>
            <w:tcBorders>
              <w:top w:val="single" w:color="C9CED6" w:sz="4"/>
              <w:left w:val="single" w:color="C9CED6" w:sz="4"/>
              <w:bottom w:val="single" w:color="C9CED6" w:sz="4"/>
              <w:right w:val="single" w:color="C9CED6" w:sz="4"/>
            </w:tcBorders>
            <w:tcMar>
              <w:top w:type="dxa" w:w="80"/>
              <w:left w:type="dxa" w:w="110"/>
              <w:bottom w:type="dxa" w:w="80"/>
              <w:right w:type="dxa" w:w="110"/>
            </w:tcMar>
            <w:vAlign w:val="top"/>
          </w:tcPr>
          <w:p>
            <w:pPr>
              <w:spacing w:after="40" w:line="252"/>
            </w:pPr>
            <w:r>
              <w:rPr>
                <w:rFonts w:ascii="Calibri" w:cs="Calibri" w:eastAsia="Calibri" w:hAnsi="Calibri"/>
                <w:sz w:val="19"/>
                <w:szCs w:val="19"/>
              </w:rPr>
              <w:t xml:space="preserve">Vance, Eleanor · DOB 04/12/1958 · MRN 904821</w:t>
            </w:r>
          </w:p>
        </w:tc>
      </w:tr>
      <w:tr>
        <w:tc>
          <w:tcPr>
            <w:tcW w:type="dxa" w:w="2300"/>
            <w:tcBorders>
              <w:top w:val="single" w:color="C9CED6" w:sz="4"/>
              <w:left w:val="single" w:color="C9CED6" w:sz="4"/>
              <w:bottom w:val="single" w:color="C9CED6" w:sz="4"/>
              <w:right w:val="single" w:color="C9CED6" w:sz="4"/>
            </w:tcBorders>
            <w:shd w:fill="EEF2F8" w:color="auto" w:val="clear"/>
            <w:tcMar>
              <w:top w:type="dxa" w:w="80"/>
              <w:left w:type="dxa" w:w="110"/>
              <w:bottom w:type="dxa" w:w="80"/>
              <w:right w:type="dxa" w:w="110"/>
            </w:tcMar>
            <w:vAlign w:val="top"/>
          </w:tcPr>
          <w:p>
            <w:pPr>
              <w:spacing w:after="40" w:line="252"/>
            </w:pPr>
            <w:r>
              <w:rPr>
                <w:rFonts w:ascii="Calibri" w:cs="Calibri" w:eastAsia="Calibri" w:hAnsi="Calibri"/>
                <w:b/>
                <w:bCs/>
                <w:sz w:val="19"/>
                <w:szCs w:val="19"/>
              </w:rPr>
              <w:t xml:space="preserve">Encounter</w:t>
            </w:r>
          </w:p>
        </w:tc>
        <w:tc>
          <w:tcPr>
            <w:tcW w:type="dxa" w:w="7060"/>
            <w:tcBorders>
              <w:top w:val="single" w:color="C9CED6" w:sz="4"/>
              <w:left w:val="single" w:color="C9CED6" w:sz="4"/>
              <w:bottom w:val="single" w:color="C9CED6" w:sz="4"/>
              <w:right w:val="single" w:color="C9CED6" w:sz="4"/>
            </w:tcBorders>
            <w:tcMar>
              <w:top w:type="dxa" w:w="80"/>
              <w:left w:type="dxa" w:w="110"/>
              <w:bottom w:type="dxa" w:w="80"/>
              <w:right w:type="dxa" w:w="110"/>
            </w:tcMar>
            <w:vAlign w:val="top"/>
          </w:tcPr>
          <w:p>
            <w:pPr>
              <w:spacing w:after="40" w:line="252"/>
            </w:pPr>
            <w:r>
              <w:rPr>
                <w:rFonts w:ascii="Calibri" w:cs="Calibri" w:eastAsia="Calibri" w:hAnsi="Calibri"/>
                <w:sz w:val="19"/>
                <w:szCs w:val="19"/>
              </w:rPr>
              <w:t xml:space="preserve">ENC-2026-1014-884 · 10/14/2026 · Outpatient chronic disease follow-up</w:t>
            </w:r>
          </w:p>
        </w:tc>
      </w:tr>
      <w:tr>
        <w:tc>
          <w:tcPr>
            <w:tcW w:type="dxa" w:w="2300"/>
            <w:tcBorders>
              <w:top w:val="single" w:color="C9CED6" w:sz="4"/>
              <w:left w:val="single" w:color="C9CED6" w:sz="4"/>
              <w:bottom w:val="single" w:color="C9CED6" w:sz="4"/>
              <w:right w:val="single" w:color="C9CED6" w:sz="4"/>
            </w:tcBorders>
            <w:shd w:fill="EEF2F8" w:color="auto" w:val="clear"/>
            <w:tcMar>
              <w:top w:type="dxa" w:w="80"/>
              <w:left w:type="dxa" w:w="110"/>
              <w:bottom w:type="dxa" w:w="80"/>
              <w:right w:type="dxa" w:w="110"/>
            </w:tcMar>
            <w:vAlign w:val="top"/>
          </w:tcPr>
          <w:p>
            <w:pPr>
              <w:spacing w:after="40" w:line="252"/>
            </w:pPr>
            <w:r>
              <w:rPr>
                <w:rFonts w:ascii="Calibri" w:cs="Calibri" w:eastAsia="Calibri" w:hAnsi="Calibri"/>
                <w:b/>
                <w:bCs/>
                <w:sz w:val="19"/>
                <w:szCs w:val="19"/>
              </w:rPr>
              <w:t xml:space="preserve">Clinician</w:t>
            </w:r>
          </w:p>
        </w:tc>
        <w:tc>
          <w:tcPr>
            <w:tcW w:type="dxa" w:w="7060"/>
            <w:tcBorders>
              <w:top w:val="single" w:color="C9CED6" w:sz="4"/>
              <w:left w:val="single" w:color="C9CED6" w:sz="4"/>
              <w:bottom w:val="single" w:color="C9CED6" w:sz="4"/>
              <w:right w:val="single" w:color="C9CED6" w:sz="4"/>
            </w:tcBorders>
            <w:tcMar>
              <w:top w:type="dxa" w:w="80"/>
              <w:left w:type="dxa" w:w="110"/>
              <w:bottom w:type="dxa" w:w="80"/>
              <w:right w:type="dxa" w:w="110"/>
            </w:tcMar>
            <w:vAlign w:val="top"/>
          </w:tcPr>
          <w:p>
            <w:pPr>
              <w:spacing w:after="40" w:line="252"/>
            </w:pPr>
            <w:r>
              <w:rPr>
                <w:rFonts w:ascii="Calibri" w:cs="Calibri" w:eastAsia="Calibri" w:hAnsi="Calibri"/>
                <w:sz w:val="19"/>
                <w:szCs w:val="19"/>
              </w:rPr>
              <w:t xml:space="preserve">Marcus Thorne, MD</w:t>
            </w:r>
          </w:p>
        </w:tc>
      </w:tr>
      <w:tr>
        <w:tc>
          <w:tcPr>
            <w:tcW w:type="dxa" w:w="2300"/>
            <w:tcBorders>
              <w:top w:val="single" w:color="C9CED6" w:sz="4"/>
              <w:left w:val="single" w:color="C9CED6" w:sz="4"/>
              <w:bottom w:val="single" w:color="C9CED6" w:sz="4"/>
              <w:right w:val="single" w:color="C9CED6" w:sz="4"/>
            </w:tcBorders>
            <w:shd w:fill="EEF2F8" w:color="auto" w:val="clear"/>
            <w:tcMar>
              <w:top w:type="dxa" w:w="80"/>
              <w:left w:type="dxa" w:w="110"/>
              <w:bottom w:type="dxa" w:w="80"/>
              <w:right w:type="dxa" w:w="110"/>
            </w:tcMar>
            <w:vAlign w:val="top"/>
          </w:tcPr>
          <w:p>
            <w:pPr>
              <w:spacing w:after="40" w:line="252"/>
            </w:pPr>
            <w:r>
              <w:rPr>
                <w:rFonts w:ascii="Calibri" w:cs="Calibri" w:eastAsia="Calibri" w:hAnsi="Calibri"/>
                <w:b/>
                <w:bCs/>
                <w:sz w:val="19"/>
                <w:szCs w:val="19"/>
              </w:rPr>
              <w:t xml:space="preserve">Reviewer role</w:t>
            </w:r>
          </w:p>
        </w:tc>
        <w:tc>
          <w:tcPr>
            <w:tcW w:type="dxa" w:w="7060"/>
            <w:tcBorders>
              <w:top w:val="single" w:color="C9CED6" w:sz="4"/>
              <w:left w:val="single" w:color="C9CED6" w:sz="4"/>
              <w:bottom w:val="single" w:color="C9CED6" w:sz="4"/>
              <w:right w:val="single" w:color="C9CED6" w:sz="4"/>
            </w:tcBorders>
            <w:tcMar>
              <w:top w:type="dxa" w:w="80"/>
              <w:left w:type="dxa" w:w="110"/>
              <w:bottom w:type="dxa" w:w="80"/>
              <w:right w:type="dxa" w:w="110"/>
            </w:tcMar>
            <w:vAlign w:val="top"/>
          </w:tcPr>
          <w:p>
            <w:pPr>
              <w:spacing w:after="40" w:line="252"/>
            </w:pPr>
            <w:r>
              <w:rPr>
                <w:rFonts w:ascii="Calibri" w:cs="Calibri" w:eastAsia="Calibri" w:hAnsi="Calibri"/>
                <w:sz w:val="19"/>
                <w:szCs w:val="19"/>
              </w:rPr>
              <w:t xml:space="preserve">Clinical office coordinator (first-line documentation QA)</w:t>
            </w:r>
          </w:p>
        </w:tc>
      </w:tr>
      <w:tr>
        <w:tc>
          <w:tcPr>
            <w:tcW w:type="dxa" w:w="2300"/>
            <w:tcBorders>
              <w:top w:val="single" w:color="C9CED6" w:sz="4"/>
              <w:left w:val="single" w:color="C9CED6" w:sz="4"/>
              <w:bottom w:val="single" w:color="C9CED6" w:sz="4"/>
              <w:right w:val="single" w:color="C9CED6" w:sz="4"/>
            </w:tcBorders>
            <w:shd w:fill="EEF2F8" w:color="auto" w:val="clear"/>
            <w:tcMar>
              <w:top w:type="dxa" w:w="80"/>
              <w:left w:type="dxa" w:w="110"/>
              <w:bottom w:type="dxa" w:w="80"/>
              <w:right w:type="dxa" w:w="110"/>
            </w:tcMar>
            <w:vAlign w:val="top"/>
          </w:tcPr>
          <w:p>
            <w:pPr>
              <w:spacing w:after="40" w:line="252"/>
            </w:pPr>
            <w:r>
              <w:rPr>
                <w:rFonts w:ascii="Calibri" w:cs="Calibri" w:eastAsia="Calibri" w:hAnsi="Calibri"/>
                <w:b/>
                <w:bCs/>
                <w:sz w:val="19"/>
                <w:szCs w:val="19"/>
              </w:rPr>
              <w:t xml:space="preserve">Sources reviewed</w:t>
            </w:r>
          </w:p>
        </w:tc>
        <w:tc>
          <w:tcPr>
            <w:tcW w:type="dxa" w:w="7060"/>
            <w:tcBorders>
              <w:top w:val="single" w:color="C9CED6" w:sz="4"/>
              <w:left w:val="single" w:color="C9CED6" w:sz="4"/>
              <w:bottom w:val="single" w:color="C9CED6" w:sz="4"/>
              <w:right w:val="single" w:color="C9CED6" w:sz="4"/>
            </w:tcBorders>
            <w:tcMar>
              <w:top w:type="dxa" w:w="80"/>
              <w:left w:type="dxa" w:w="110"/>
              <w:bottom w:type="dxa" w:w="80"/>
              <w:right w:type="dxa" w:w="110"/>
            </w:tcMar>
            <w:vAlign w:val="top"/>
          </w:tcPr>
          <w:p>
            <w:pPr>
              <w:spacing w:after="40" w:line="252"/>
            </w:pPr>
            <w:r>
              <w:rPr>
                <w:rFonts w:ascii="Calibri" w:cs="Calibri" w:eastAsia="Calibri" w:hAnsi="Calibri"/>
                <w:sz w:val="19"/>
                <w:szCs w:val="19"/>
              </w:rPr>
              <w:t xml:space="preserve">(1) Source conversation transcript, Document 1A; (2) Dragon Copilot draft clinical encounter note, unreviewed; (3) EMR post-transfer chart scenario, PracticeOne EMR v12.4</w:t>
            </w:r>
          </w:p>
        </w:tc>
      </w:tr>
      <w:tr>
        <w:tc>
          <w:tcPr>
            <w:tcW w:type="dxa" w:w="2300"/>
            <w:tcBorders>
              <w:top w:val="single" w:color="C9CED6" w:sz="4"/>
              <w:left w:val="single" w:color="C9CED6" w:sz="4"/>
              <w:bottom w:val="single" w:color="C9CED6" w:sz="4"/>
              <w:right w:val="single" w:color="C9CED6" w:sz="4"/>
            </w:tcBorders>
            <w:shd w:fill="EEF2F8" w:color="auto" w:val="clear"/>
            <w:tcMar>
              <w:top w:type="dxa" w:w="80"/>
              <w:left w:type="dxa" w:w="110"/>
              <w:bottom w:type="dxa" w:w="80"/>
              <w:right w:type="dxa" w:w="110"/>
            </w:tcMar>
            <w:vAlign w:val="top"/>
          </w:tcPr>
          <w:p>
            <w:pPr>
              <w:spacing w:after="40" w:line="252"/>
            </w:pPr>
            <w:r>
              <w:rPr>
                <w:rFonts w:ascii="Calibri" w:cs="Calibri" w:eastAsia="Calibri" w:hAnsi="Calibri"/>
                <w:b/>
                <w:bCs/>
                <w:sz w:val="19"/>
                <w:szCs w:val="19"/>
              </w:rPr>
              <w:t xml:space="preserve">EMR status at review</w:t>
            </w:r>
          </w:p>
        </w:tc>
        <w:tc>
          <w:tcPr>
            <w:tcW w:type="dxa" w:w="7060"/>
            <w:tcBorders>
              <w:top w:val="single" w:color="C9CED6" w:sz="4"/>
              <w:left w:val="single" w:color="C9CED6" w:sz="4"/>
              <w:bottom w:val="single" w:color="C9CED6" w:sz="4"/>
              <w:right w:val="single" w:color="C9CED6" w:sz="4"/>
            </w:tcBorders>
            <w:tcMar>
              <w:top w:type="dxa" w:w="80"/>
              <w:left w:type="dxa" w:w="110"/>
              <w:bottom w:type="dxa" w:w="80"/>
              <w:right w:type="dxa" w:w="110"/>
            </w:tcMar>
            <w:vAlign w:val="top"/>
          </w:tcPr>
          <w:p>
            <w:pPr>
              <w:spacing w:after="40" w:line="252"/>
            </w:pPr>
            <w:r>
              <w:rPr>
                <w:rFonts w:ascii="Calibri" w:cs="Calibri" w:eastAsia="Calibri" w:hAnsi="Calibri"/>
                <w:sz w:val="19"/>
                <w:szCs w:val="19"/>
              </w:rPr>
              <w:t xml:space="preserve">Pending final clinician reconciliation and sign-off</w:t>
            </w:r>
          </w:p>
        </w:tc>
      </w:tr>
      <w:tr>
        <w:tc>
          <w:tcPr>
            <w:tcW w:type="dxa" w:w="2300"/>
            <w:tcBorders>
              <w:top w:val="single" w:color="C9CED6" w:sz="4"/>
              <w:left w:val="single" w:color="C9CED6" w:sz="4"/>
              <w:bottom w:val="single" w:color="C9CED6" w:sz="4"/>
              <w:right w:val="single" w:color="C9CED6" w:sz="4"/>
            </w:tcBorders>
            <w:shd w:fill="EEF2F8" w:color="auto" w:val="clear"/>
            <w:tcMar>
              <w:top w:type="dxa" w:w="80"/>
              <w:left w:type="dxa" w:w="110"/>
              <w:bottom w:type="dxa" w:w="80"/>
              <w:right w:type="dxa" w:w="110"/>
            </w:tcMar>
            <w:vAlign w:val="top"/>
          </w:tcPr>
          <w:p>
            <w:pPr>
              <w:spacing w:after="40" w:line="252"/>
            </w:pPr>
            <w:r>
              <w:rPr>
                <w:rFonts w:ascii="Calibri" w:cs="Calibri" w:eastAsia="Calibri" w:hAnsi="Calibri"/>
                <w:b/>
                <w:bCs/>
                <w:sz w:val="19"/>
                <w:szCs w:val="19"/>
              </w:rPr>
              <w:t xml:space="preserve">Disposition</w:t>
            </w:r>
          </w:p>
        </w:tc>
        <w:tc>
          <w:tcPr>
            <w:tcW w:type="dxa" w:w="7060"/>
            <w:tcBorders>
              <w:top w:val="single" w:color="C9CED6" w:sz="4"/>
              <w:left w:val="single" w:color="C9CED6" w:sz="4"/>
              <w:bottom w:val="single" w:color="C9CED6" w:sz="4"/>
              <w:right w:val="single" w:color="C9CED6" w:sz="4"/>
            </w:tcBorders>
            <w:tcMar>
              <w:top w:type="dxa" w:w="80"/>
              <w:left w:type="dxa" w:w="110"/>
              <w:bottom w:type="dxa" w:w="80"/>
              <w:right w:type="dxa" w:w="110"/>
            </w:tcMar>
            <w:vAlign w:val="top"/>
          </w:tcPr>
          <w:p>
            <w:pPr>
              <w:spacing w:after="40" w:line="252"/>
            </w:pPr>
            <w:r>
              <w:rPr>
                <w:rFonts w:ascii="Calibri" w:cs="Calibri" w:eastAsia="Calibri" w:hAnsi="Calibri"/>
                <w:b/>
                <w:bCs/>
                <w:color w:val="C00000"/>
                <w:sz w:val="19"/>
                <w:szCs w:val="19"/>
              </w:rPr>
              <w:t xml:space="preserve">ESCALATE</w:t>
            </w:r>
            <w:r>
              <w:rPr>
                <w:rFonts w:ascii="Calibri" w:cs="Calibri" w:eastAsia="Calibri" w:hAnsi="Calibri"/>
                <w:color w:val="C00000"/>
                <w:sz w:val="19"/>
                <w:szCs w:val="19"/>
              </w:rPr>
              <w:t xml:space="preserve"> (Section 4)</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9CED6" w:sz="4"/>
              <w:left w:val="single" w:color="C9CED6" w:sz="4"/>
              <w:bottom w:val="single" w:color="C9CED6" w:sz="4"/>
              <w:right w:val="single" w:color="C9CED6" w:sz="4"/>
            </w:tcBorders>
            <w:shd w:fill="F5F7FA" w:color="auto" w:val="clear"/>
            <w:tcMar>
              <w:top w:type="dxa" w:w="140"/>
              <w:left w:type="dxa" w:w="180"/>
              <w:bottom w:type="dxa" w:w="140"/>
              <w:right w:type="dxa" w:w="110"/>
            </w:tcMar>
            <w:vAlign w:val="top"/>
          </w:tcPr>
          <w:p>
            <w:pPr>
              <w:spacing w:after="0"/>
            </w:pPr>
            <w:r>
              <w:rPr>
                <w:rFonts w:ascii="Calibri" w:cs="Calibri" w:eastAsia="Calibri" w:hAnsi="Calibri"/>
                <w:b/>
                <w:bCs/>
                <w:color w:val="1F3864"/>
                <w:sz w:val="40"/>
                <w:szCs w:val="40"/>
              </w:rPr>
              <w:t xml:space="preserve">16</w:t>
            </w:r>
          </w:p>
          <w:p>
            <w:pPr>
              <w:spacing w:after="0" w:line="240"/>
            </w:pPr>
            <w:r>
              <w:rPr>
                <w:rFonts w:ascii="Calibri" w:cs="Calibri" w:eastAsia="Calibri" w:hAnsi="Calibri"/>
                <w:color w:val="595959"/>
                <w:sz w:val="17"/>
                <w:szCs w:val="17"/>
              </w:rPr>
              <w:t xml:space="preserve">corrections annotated in Section 1</w:t>
            </w:r>
          </w:p>
        </w:tc>
        <w:tc>
          <w:tcPr>
            <w:tcW w:type="dxa" w:w="2340"/>
            <w:tcBorders>
              <w:top w:val="single" w:color="C9CED6" w:sz="4"/>
              <w:left w:val="single" w:color="C9CED6" w:sz="4"/>
              <w:bottom w:val="single" w:color="C9CED6" w:sz="4"/>
              <w:right w:val="single" w:color="C9CED6" w:sz="4"/>
            </w:tcBorders>
            <w:shd w:fill="F5F7FA" w:color="auto" w:val="clear"/>
            <w:tcMar>
              <w:top w:type="dxa" w:w="140"/>
              <w:left w:type="dxa" w:w="180"/>
              <w:bottom w:type="dxa" w:w="140"/>
              <w:right w:type="dxa" w:w="110"/>
            </w:tcMar>
            <w:vAlign w:val="top"/>
          </w:tcPr>
          <w:p>
            <w:pPr>
              <w:spacing w:after="0"/>
            </w:pPr>
            <w:r>
              <w:rPr>
                <w:rFonts w:ascii="Calibri" w:cs="Calibri" w:eastAsia="Calibri" w:hAnsi="Calibri"/>
                <w:b/>
                <w:bCs/>
                <w:color w:val="1F3864"/>
                <w:sz w:val="40"/>
                <w:szCs w:val="40"/>
              </w:rPr>
              <w:t xml:space="preserve">10</w:t>
            </w:r>
          </w:p>
          <w:p>
            <w:pPr>
              <w:spacing w:after="0" w:line="240"/>
            </w:pPr>
            <w:r>
              <w:rPr>
                <w:rFonts w:ascii="Calibri" w:cs="Calibri" w:eastAsia="Calibri" w:hAnsi="Calibri"/>
                <w:color w:val="595959"/>
                <w:sz w:val="17"/>
                <w:szCs w:val="17"/>
              </w:rPr>
              <w:t xml:space="preserve">discrepancies logged, 3 of them high severity</w:t>
            </w:r>
          </w:p>
        </w:tc>
        <w:tc>
          <w:tcPr>
            <w:tcW w:type="dxa" w:w="2340"/>
            <w:tcBorders>
              <w:top w:val="single" w:color="C9CED6" w:sz="4"/>
              <w:left w:val="single" w:color="C9CED6" w:sz="4"/>
              <w:bottom w:val="single" w:color="C9CED6" w:sz="4"/>
              <w:right w:val="single" w:color="C9CED6" w:sz="4"/>
            </w:tcBorders>
            <w:shd w:fill="F5F7FA" w:color="auto" w:val="clear"/>
            <w:tcMar>
              <w:top w:type="dxa" w:w="140"/>
              <w:left w:type="dxa" w:w="180"/>
              <w:bottom w:type="dxa" w:w="140"/>
              <w:right w:type="dxa" w:w="110"/>
            </w:tcMar>
            <w:vAlign w:val="top"/>
          </w:tcPr>
          <w:p>
            <w:pPr>
              <w:spacing w:after="0"/>
            </w:pPr>
            <w:r>
              <w:rPr>
                <w:rFonts w:ascii="Calibri" w:cs="Calibri" w:eastAsia="Calibri" w:hAnsi="Calibri"/>
                <w:b/>
                <w:bCs/>
                <w:color w:val="1F3864"/>
                <w:sz w:val="40"/>
                <w:szCs w:val="40"/>
              </w:rPr>
              <w:t xml:space="preserve">6</w:t>
            </w:r>
          </w:p>
          <w:p>
            <w:pPr>
              <w:spacing w:after="0" w:line="240"/>
            </w:pPr>
            <w:r>
              <w:rPr>
                <w:rFonts w:ascii="Calibri" w:cs="Calibri" w:eastAsia="Calibri" w:hAnsi="Calibri"/>
                <w:color w:val="595959"/>
                <w:sz w:val="17"/>
                <w:szCs w:val="17"/>
              </w:rPr>
              <w:t xml:space="preserve">EMR integrity findings across 3 dimensions</w:t>
            </w:r>
          </w:p>
        </w:tc>
        <w:tc>
          <w:tcPr>
            <w:tcW w:type="dxa" w:w="2340"/>
            <w:tcBorders>
              <w:top w:val="single" w:color="C9CED6" w:sz="4"/>
              <w:left w:val="single" w:color="C9CED6" w:sz="4"/>
              <w:bottom w:val="single" w:color="C9CED6" w:sz="4"/>
              <w:right w:val="single" w:color="C9CED6" w:sz="4"/>
            </w:tcBorders>
            <w:shd w:fill="FBEDEC" w:color="auto" w:val="clear"/>
            <w:tcMar>
              <w:top w:type="dxa" w:w="140"/>
              <w:left w:type="dxa" w:w="180"/>
              <w:bottom w:type="dxa" w:w="140"/>
              <w:right w:type="dxa" w:w="110"/>
            </w:tcMar>
            <w:vAlign w:val="top"/>
          </w:tcPr>
          <w:p>
            <w:pPr>
              <w:spacing w:after="0"/>
            </w:pPr>
            <w:r>
              <w:rPr>
                <w:rFonts w:ascii="Calibri" w:cs="Calibri" w:eastAsia="Calibri" w:hAnsi="Calibri"/>
                <w:b/>
                <w:bCs/>
                <w:color w:val="C00000"/>
                <w:sz w:val="40"/>
                <w:szCs w:val="40"/>
              </w:rPr>
              <w:t xml:space="preserve">Escalate</w:t>
            </w:r>
          </w:p>
          <w:p>
            <w:pPr>
              <w:spacing w:after="0" w:line="240"/>
            </w:pPr>
            <w:r>
              <w:rPr>
                <w:rFonts w:ascii="Calibri" w:cs="Calibri" w:eastAsia="Calibri" w:hAnsi="Calibri"/>
                <w:color w:val="595959"/>
                <w:sz w:val="17"/>
                <w:szCs w:val="17"/>
              </w:rPr>
              <w:t xml:space="preserve">disposition: not ready for routine sign-off</w:t>
            </w:r>
          </w:p>
        </w:tc>
      </w:tr>
    </w:tbl>
    <w:p>
      <w:pPr>
        <w:spacing w:after="120"/>
      </w:pPr>
    </w:p>
    <w:p>
      <w:pPr>
        <w:pStyle w:val="Heading2"/>
      </w:pPr>
      <w:r>
        <w:rPr>
          <w:rFonts w:ascii="Calibri" w:cs="Calibri" w:eastAsia="Calibri" w:hAnsi="Calibri"/>
        </w:rPr>
        <w:t xml:space="preserve">Review method</w:t>
      </w:r>
    </w:p>
    <w:p>
      <w:pPr>
        <w:pStyle w:val="ListParagraph"/>
        <w:numPr>
          <w:ilvl w:val="0"/>
          <w:numId w:val="2"/>
        </w:numPr>
        <w:spacing w:after="60" w:line="264"/>
      </w:pPr>
      <w:r>
        <w:rPr>
          <w:rFonts w:ascii="Calibri" w:cs="Calibri" w:eastAsia="Calibri" w:hAnsi="Calibri"/>
        </w:rPr>
        <w:t xml:space="preserve">The source transcript was read in full before the draft was opened. Key moments were marked: the lisinopril change, the diabetes review, the travel counseling and the follow-up instructions.</w:t>
      </w:r>
    </w:p>
    <w:p>
      <w:pPr>
        <w:pStyle w:val="ListParagraph"/>
        <w:numPr>
          <w:ilvl w:val="0"/>
          <w:numId w:val="2"/>
        </w:numPr>
        <w:spacing w:after="60" w:line="264"/>
      </w:pPr>
      <w:r>
        <w:rPr>
          <w:rFonts w:ascii="Calibri" w:cs="Calibri" w:eastAsia="Calibri" w:hAnsi="Calibri"/>
        </w:rPr>
        <w:t xml:space="preserve">The draft was annotated one section at a time (History, then Assessment, then Plan). Every correction quotes the transcript passage that supports it.</w:t>
      </w:r>
    </w:p>
    <w:p>
      <w:pPr>
        <w:pStyle w:val="ListParagraph"/>
        <w:numPr>
          <w:ilvl w:val="0"/>
          <w:numId w:val="2"/>
        </w:numPr>
        <w:spacing w:after="60" w:line="264"/>
      </w:pPr>
      <w:r>
        <w:rPr>
          <w:rFonts w:ascii="Calibri" w:cs="Calibri" w:eastAsia="Calibri" w:hAnsi="Calibri"/>
        </w:rPr>
        <w:t xml:space="preserve">The discrepancy log was built with the transcript and the annotated draft open side by side.</w:t>
      </w:r>
    </w:p>
    <w:p>
      <w:pPr>
        <w:pStyle w:val="ListParagraph"/>
        <w:numPr>
          <w:ilvl w:val="0"/>
          <w:numId w:val="2"/>
        </w:numPr>
        <w:spacing w:after="60" w:line="264"/>
      </w:pPr>
      <w:r>
        <w:rPr>
          <w:rFonts w:ascii="Calibri" w:cs="Calibri" w:eastAsia="Calibri" w:hAnsi="Calibri"/>
        </w:rPr>
        <w:t xml:space="preserve">The EMR chart was then evaluated separately for field appropriateness, traceability and downstream usability.</w:t>
      </w:r>
    </w:p>
    <w:p>
      <w:pPr>
        <w:pStyle w:val="ListParagraph"/>
        <w:numPr>
          <w:ilvl w:val="0"/>
          <w:numId w:val="2"/>
        </w:numPr>
        <w:spacing w:after="60" w:line="264"/>
      </w:pPr>
      <w:r>
        <w:rPr>
          <w:rFonts w:ascii="Calibri" w:cs="Calibri" w:eastAsia="Calibri" w:hAnsi="Calibri"/>
        </w:rPr>
        <w:t xml:space="preserve">The disposition draws only on findings already documented in Sections 2 and 3.</w:t>
      </w:r>
    </w:p>
    <w:p>
      <w:pPr>
        <w:pStyle w:val="Heading2"/>
      </w:pPr>
      <w:r>
        <w:rPr>
          <w:rFonts w:ascii="Calibri" w:cs="Calibri" w:eastAsia="Calibri" w:hAnsi="Calibri"/>
        </w:rPr>
        <w:t xml:space="preserve">Package contents</w:t>
      </w:r>
    </w:p>
    <w:p>
      <w:pPr>
        <w:pStyle w:val="ListParagraph"/>
        <w:numPr>
          <w:ilvl w:val="0"/>
          <w:numId w:val="3"/>
        </w:numPr>
        <w:spacing w:after="60" w:line="264"/>
      </w:pPr>
      <w:r>
        <w:rPr>
          <w:rFonts w:ascii="Calibri" w:cs="Calibri" w:eastAsia="Calibri" w:hAnsi="Calibri"/>
          <w:b/>
          <w:bCs/>
        </w:rPr>
        <w:t xml:space="preserve">Section 1 </w:t>
      </w:r>
      <w:r>
        <w:rPr>
          <w:rFonts w:ascii="Calibri" w:cs="Calibri" w:eastAsia="Calibri" w:hAnsi="Calibri"/>
        </w:rPr>
        <w:t xml:space="preserve">Annotated Clinical Encounter Note</w:t>
      </w:r>
    </w:p>
    <w:p>
      <w:pPr>
        <w:pStyle w:val="ListParagraph"/>
        <w:numPr>
          <w:ilvl w:val="0"/>
          <w:numId w:val="3"/>
        </w:numPr>
        <w:spacing w:after="60" w:line="264"/>
      </w:pPr>
      <w:r>
        <w:rPr>
          <w:rFonts w:ascii="Calibri" w:cs="Calibri" w:eastAsia="Calibri" w:hAnsi="Calibri"/>
          <w:b/>
          <w:bCs/>
        </w:rPr>
        <w:t xml:space="preserve">Section 2 </w:t>
      </w:r>
      <w:r>
        <w:rPr>
          <w:rFonts w:ascii="Calibri" w:cs="Calibri" w:eastAsia="Calibri" w:hAnsi="Calibri"/>
        </w:rPr>
        <w:t xml:space="preserve">Discrepancy Log</w:t>
      </w:r>
    </w:p>
    <w:p>
      <w:pPr>
        <w:pStyle w:val="ListParagraph"/>
        <w:numPr>
          <w:ilvl w:val="0"/>
          <w:numId w:val="3"/>
        </w:numPr>
        <w:spacing w:after="60" w:line="264"/>
      </w:pPr>
      <w:r>
        <w:rPr>
          <w:rFonts w:ascii="Calibri" w:cs="Calibri" w:eastAsia="Calibri" w:hAnsi="Calibri"/>
          <w:b/>
          <w:bCs/>
        </w:rPr>
        <w:t xml:space="preserve">Section 3 </w:t>
      </w:r>
      <w:r>
        <w:rPr>
          <w:rFonts w:ascii="Calibri" w:cs="Calibri" w:eastAsia="Calibri" w:hAnsi="Calibri"/>
        </w:rPr>
        <w:t xml:space="preserve">EMR Record Integrity Evaluation</w:t>
      </w:r>
    </w:p>
    <w:p>
      <w:pPr>
        <w:pStyle w:val="ListParagraph"/>
        <w:numPr>
          <w:ilvl w:val="0"/>
          <w:numId w:val="3"/>
        </w:numPr>
        <w:spacing w:after="60" w:line="264"/>
      </w:pPr>
      <w:r>
        <w:rPr>
          <w:rFonts w:ascii="Calibri" w:cs="Calibri" w:eastAsia="Calibri" w:hAnsi="Calibri"/>
          <w:b/>
          <w:bCs/>
        </w:rPr>
        <w:t xml:space="preserve">Section 4 </w:t>
      </w:r>
      <w:r>
        <w:rPr>
          <w:rFonts w:ascii="Calibri" w:cs="Calibri" w:eastAsia="Calibri" w:hAnsi="Calibri"/>
        </w:rPr>
        <w:t xml:space="preserve">Disposition Recommendation</w:t>
      </w:r>
    </w:p>
    <w:p>
      <w:pPr>
        <w:pStyle w:val="Heading1"/>
        <w:pageBreakBefore/>
      </w:pPr>
      <w:r>
        <w:rPr>
          <w:rFonts w:ascii="Calibri" w:cs="Calibri" w:eastAsia="Calibri" w:hAnsi="Calibri"/>
        </w:rPr>
        <w:t xml:space="preserve">Section 1 — Annotated Clinical Encounter Note</w:t>
      </w:r>
    </w:p>
    <w:p>
      <w:pPr>
        <w:spacing w:after="100" w:line="276"/>
      </w:pPr>
      <w:r>
        <w:rPr>
          <w:rFonts w:ascii="Calibri" w:cs="Calibri" w:eastAsia="Calibri" w:hAnsi="Calibri"/>
        </w:rPr>
        <w:t xml:space="preserve">The Dragon Copilot draft is reproduced below with corrections shown as a fixed redline, so it reads the same in Word, PDF and print. Each correction carries a numbered tag that links to the annotation table under its section. That table names the documentation standard involved (</w:t>
      </w:r>
      <w:r>
        <w:rPr>
          <w:rFonts w:ascii="Calibri" w:cs="Calibri" w:eastAsia="Calibri" w:hAnsi="Calibri"/>
          <w:b/>
          <w:bCs/>
        </w:rPr>
        <w:t xml:space="preserve">completeness</w:t>
      </w:r>
      <w:r>
        <w:rPr>
          <w:rFonts w:ascii="Calibri" w:cs="Calibri" w:eastAsia="Calibri" w:hAnsi="Calibri"/>
        </w:rPr>
        <w:t xml:space="preserve">, </w:t>
      </w:r>
      <w:r>
        <w:rPr>
          <w:rFonts w:ascii="Calibri" w:cs="Calibri" w:eastAsia="Calibri" w:hAnsi="Calibri"/>
          <w:b/>
          <w:bCs/>
        </w:rPr>
        <w:t xml:space="preserve">clinical encounter relevance</w:t>
      </w:r>
      <w:r>
        <w:rPr>
          <w:rFonts w:ascii="Calibri" w:cs="Calibri" w:eastAsia="Calibri" w:hAnsi="Calibri"/>
        </w:rPr>
        <w:t xml:space="preserve"> or </w:t>
      </w:r>
      <w:r>
        <w:rPr>
          <w:rFonts w:ascii="Calibri" w:cs="Calibri" w:eastAsia="Calibri" w:hAnsi="Calibri"/>
          <w:b/>
          <w:bCs/>
        </w:rPr>
        <w:t xml:space="preserve">clinical specificity</w:t>
      </w:r>
      <w:r>
        <w:rPr>
          <w:rFonts w:ascii="Calibri" w:cs="Calibri" w:eastAsia="Calibri" w:hAnsi="Calibri"/>
        </w:rPr>
        <w:t xml:space="preserve">), quotes the supporting transcript passage and cross-references the discrepancy log (E1–E10). The draft’s closing “Note for Annotation Exercise” is instructional text and is not reproduced.</w:t>
      </w:r>
    </w:p>
    <w:p>
      <w:pPr>
        <w:spacing w:after="200" w:before="60"/>
      </w:pPr>
      <w:r>
        <w:rPr>
          <w:rFonts w:ascii="Calibri" w:cs="Calibri" w:eastAsia="Calibri" w:hAnsi="Calibri"/>
          <w:b/>
          <w:bCs/>
          <w:sz w:val="19"/>
          <w:szCs w:val="19"/>
        </w:rPr>
        <w:t xml:space="preserve">Key:  </w:t>
      </w:r>
      <w:r>
        <w:rPr>
          <w:rFonts w:ascii="Calibri" w:cs="Calibri" w:eastAsia="Calibri" w:hAnsi="Calibri"/>
          <w:strike/>
          <w:color w:val="C00000"/>
          <w:sz w:val="19"/>
          <w:szCs w:val="19"/>
        </w:rPr>
        <w:t xml:space="preserve">deleted text</w:t>
      </w:r>
      <w:r>
        <w:rPr>
          <w:rFonts w:ascii="Calibri" w:cs="Calibri" w:eastAsia="Calibri" w:hAnsi="Calibri"/>
          <w:color w:val="595959"/>
          <w:sz w:val="19"/>
          <w:szCs w:val="19"/>
        </w:rPr>
        <w:t xml:space="preserve">   ·   </w:t>
      </w:r>
      <w:r>
        <w:rPr>
          <w:rFonts w:ascii="Calibri" w:cs="Calibri" w:eastAsia="Calibri" w:hAnsi="Calibri"/>
          <w:color w:val="0B5394"/>
          <w:sz w:val="19"/>
          <w:szCs w:val="19"/>
          <w:u w:val="single" w:color="0B5394"/>
        </w:rPr>
        <w:t xml:space="preserve">inserted text</w:t>
      </w:r>
      <w:r>
        <w:rPr>
          <w:rFonts w:ascii="Calibri" w:cs="Calibri" w:eastAsia="Calibri" w:hAnsi="Calibri"/>
          <w:color w:val="595959"/>
          <w:sz w:val="19"/>
          <w:szCs w:val="19"/>
        </w:rPr>
        <w:t xml:space="preserve">   ·   </w:t>
      </w:r>
      <w:r>
        <w:rPr>
          <w:rFonts w:ascii="Calibri" w:cs="Calibri" w:eastAsia="Calibri" w:hAnsi="Calibri"/>
          <w:b/>
          <w:bCs/>
          <w:color w:val="FFFFFF"/>
          <w:sz w:val="14"/>
          <w:szCs w:val="14"/>
          <w:shd w:fill="1F3864" w:color="auto" w:val="clear"/>
        </w:rPr>
        <w:t xml:space="preserve"> A1 </w:t>
      </w:r>
      <w:r>
        <w:rPr>
          <w:rFonts w:ascii="Calibri" w:cs="Calibri" w:eastAsia="Calibri" w:hAnsi="Calibri"/>
          <w:sz w:val="19"/>
          <w:szCs w:val="19"/>
        </w:rPr>
        <w:t xml:space="preserve">  annotation reference</w:t>
      </w:r>
    </w:p>
    <w:p>
      <w:pPr>
        <w:pStyle w:val="Heading2"/>
      </w:pPr>
      <w:r>
        <w:rPr>
          <w:rFonts w:ascii="Calibri" w:cs="Calibri" w:eastAsia="Calibri" w:hAnsi="Calibri"/>
        </w:rPr>
        <w:t xml:space="preserve">Note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6" w:sz="4"/>
              <w:left w:val="single" w:color="8EA9DB" w:sz="24"/>
              <w:bottom w:val="single" w:color="C9CED6" w:sz="4"/>
              <w:right w:val="single" w:color="C9CED6" w:sz="4"/>
            </w:tcBorders>
            <w:shd w:fill="F7F9FC" w:color="auto" w:val="clear"/>
            <w:tcMar>
              <w:top w:type="dxa" w:w="140"/>
              <w:left w:type="dxa" w:w="220"/>
              <w:bottom w:type="dxa" w:w="100"/>
              <w:right w:type="dxa" w:w="200"/>
            </w:tcMar>
            <w:vAlign w:val="top"/>
          </w:tcPr>
          <w:p>
            <w:pPr>
              <w:spacing w:after="90" w:line="288"/>
            </w:pPr>
            <w:r>
              <w:rPr>
                <w:rFonts w:ascii="Calibri" w:cs="Calibri" w:eastAsia="Calibri" w:hAnsi="Calibri"/>
                <w:b/>
                <w:bCs/>
              </w:rPr>
              <w:t xml:space="preserve">Document Type: </w:t>
            </w:r>
            <w:r>
              <w:rPr>
                <w:rFonts w:ascii="Calibri" w:cs="Calibri" w:eastAsia="Calibri" w:hAnsi="Calibri"/>
              </w:rPr>
              <w:t xml:space="preserve">Unreviewed Ambient AI Draft Output</w:t>
            </w:r>
          </w:p>
          <w:p>
            <w:pPr>
              <w:spacing w:after="90" w:line="288"/>
            </w:pPr>
            <w:r>
              <w:rPr>
                <w:rFonts w:ascii="Calibri" w:cs="Calibri" w:eastAsia="Calibri" w:hAnsi="Calibri"/>
                <w:b/>
                <w:bCs/>
              </w:rPr>
              <w:t xml:space="preserve">Encounter Date: </w:t>
            </w:r>
            <w:r>
              <w:rPr>
                <w:rFonts w:ascii="Calibri" w:cs="Calibri" w:eastAsia="Calibri" w:hAnsi="Calibri"/>
              </w:rPr>
              <w:t xml:space="preserve">October 14, 2026</w:t>
            </w:r>
          </w:p>
          <w:p>
            <w:pPr>
              <w:spacing w:after="90" w:line="288"/>
            </w:pPr>
            <w:r>
              <w:rPr>
                <w:rFonts w:ascii="Calibri" w:cs="Calibri" w:eastAsia="Calibri" w:hAnsi="Calibri"/>
                <w:b/>
                <w:bCs/>
              </w:rPr>
              <w:t xml:space="preserve">Patient: </w:t>
            </w:r>
            <w:r>
              <w:rPr>
                <w:rFonts w:ascii="Calibri" w:cs="Calibri" w:eastAsia="Calibri" w:hAnsi="Calibri"/>
              </w:rPr>
              <w:t xml:space="preserve">Vance, Eleanor (DOB: 04/12/1958)</w:t>
            </w:r>
          </w:p>
          <w:p>
            <w:pPr>
              <w:spacing w:after="90" w:line="288"/>
            </w:pPr>
            <w:r>
              <w:rPr>
                <w:rFonts w:ascii="Calibri" w:cs="Calibri" w:eastAsia="Calibri" w:hAnsi="Calibri"/>
                <w:b/>
                <w:bCs/>
              </w:rPr>
              <w:t xml:space="preserve">Provider: </w:t>
            </w:r>
            <w:r>
              <w:rPr>
                <w:rFonts w:ascii="Calibri" w:cs="Calibri" w:eastAsia="Calibri" w:hAnsi="Calibri"/>
              </w:rPr>
              <w:t xml:space="preserve">Marcus Thorne, MD</w:t>
            </w:r>
          </w:p>
          <w:p>
            <w:pPr>
              <w:spacing w:after="90" w:line="288"/>
            </w:pPr>
            <w:r>
              <w:rPr>
                <w:rFonts w:ascii="Calibri" w:cs="Calibri" w:eastAsia="Calibri" w:hAnsi="Calibri"/>
                <w:b/>
                <w:bCs/>
              </w:rPr>
              <w:t xml:space="preserve">Encounter Type: </w:t>
            </w:r>
            <w:r>
              <w:rPr>
                <w:rFonts w:ascii="Calibri" w:cs="Calibri" w:eastAsia="Calibri" w:hAnsi="Calibri"/>
              </w:rPr>
              <w:t xml:space="preserve">Outpatient Chronic Disease Follow-Up</w:t>
            </w:r>
          </w:p>
        </w:tc>
      </w:tr>
    </w:tbl>
    <w:p>
      <w:pPr>
        <w:spacing w:after="160" w:before="80" w:line="276"/>
      </w:pPr>
      <w:r>
        <w:rPr>
          <w:rFonts w:ascii="Calibri" w:cs="Calibri" w:eastAsia="Calibri" w:hAnsi="Calibri"/>
          <w:color w:val="595959"/>
          <w:sz w:val="18"/>
          <w:szCs w:val="18"/>
        </w:rPr>
        <w:t xml:space="preserve">Header verified against the transcript and EMR: name, DOB, encounter date and provider match. No corrections.</w:t>
      </w:r>
    </w:p>
    <w:p>
      <w:pPr>
        <w:pStyle w:val="Heading2"/>
      </w:pPr>
      <w:r>
        <w:rPr>
          <w:rFonts w:ascii="Calibri" w:cs="Calibri" w:eastAsia="Calibri" w:hAnsi="Calibri"/>
        </w:rPr>
        <w:t xml:space="preserve">History (Subjective)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6" w:sz="4"/>
              <w:left w:val="single" w:color="8EA9DB" w:sz="24"/>
              <w:bottom w:val="single" w:color="C9CED6" w:sz="4"/>
              <w:right w:val="single" w:color="C9CED6" w:sz="4"/>
            </w:tcBorders>
            <w:shd w:fill="F7F9FC" w:color="auto" w:val="clear"/>
            <w:tcMar>
              <w:top w:type="dxa" w:w="140"/>
              <w:left w:type="dxa" w:w="220"/>
              <w:bottom w:type="dxa" w:w="100"/>
              <w:right w:type="dxa" w:w="200"/>
            </w:tcMar>
            <w:vAlign w:val="top"/>
          </w:tcPr>
          <w:p>
            <w:pPr>
              <w:spacing w:after="90" w:line="288"/>
            </w:pPr>
            <w:r>
              <w:rPr>
                <w:rFonts w:ascii="Calibri" w:cs="Calibri" w:eastAsia="Calibri" w:hAnsi="Calibri"/>
                <w:b/>
                <w:bCs/>
              </w:rPr>
              <w:t xml:space="preserve">Chief Complaint: </w:t>
            </w:r>
            <w:r>
              <w:rPr>
                <w:rFonts w:ascii="Calibri" w:cs="Calibri" w:eastAsia="Calibri" w:hAnsi="Calibri"/>
              </w:rPr>
              <w:t xml:space="preserve">Follow-up for Type 2 Diabetes and Essential Hypertension</w:t>
            </w:r>
            <w:r>
              <w:rPr>
                <w:rFonts w:ascii="Calibri" w:cs="Calibri" w:eastAsia="Calibri" w:hAnsi="Calibri"/>
                <w:color w:val="0B5394"/>
                <w:u w:val="single" w:color="0B5394"/>
              </w:rPr>
              <w:t xml:space="preserve">, including recent lisinopril dose adjustment; new dizziness on standing</w:t>
            </w:r>
            <w:r>
              <w:rPr>
                <w:rFonts w:ascii="Calibri" w:cs="Calibri" w:eastAsia="Calibri" w:hAnsi="Calibri"/>
              </w:rPr>
              <w:t xml:space="preserve">.</w:t>
            </w:r>
            <w:r>
              <w:rPr>
                <w:rFonts w:ascii="Calibri" w:cs="Calibri" w:eastAsia="Calibri" w:hAnsi="Calibri"/>
              </w:rPr>
              <w:t xml:space="preserve"> </w:t>
            </w:r>
            <w:r>
              <w:rPr>
                <w:rFonts w:ascii="Calibri" w:cs="Calibri" w:eastAsia="Calibri" w:hAnsi="Calibri"/>
                <w:b/>
                <w:bCs/>
                <w:color w:val="FFFFFF"/>
                <w:sz w:val="14"/>
                <w:szCs w:val="14"/>
                <w:shd w:fill="1F3864" w:color="auto" w:val="clear"/>
              </w:rPr>
              <w:t xml:space="preserve"> A1 </w:t>
            </w:r>
          </w:p>
          <w:p>
            <w:pPr>
              <w:spacing w:after="90" w:line="288"/>
            </w:pPr>
            <w:r>
              <w:rPr>
                <w:rFonts w:ascii="Calibri" w:cs="Calibri" w:eastAsia="Calibri" w:hAnsi="Calibri"/>
                <w:b/>
                <w:bCs/>
              </w:rPr>
              <w:t xml:space="preserve">History of Present Illness: </w:t>
            </w:r>
            <w:r>
              <w:rPr>
                <w:rFonts w:ascii="Calibri" w:cs="Calibri" w:eastAsia="Calibri" w:hAnsi="Calibri"/>
              </w:rPr>
              <w:t xml:space="preserve">Patient is a 68-year-old female presenting for </w:t>
            </w:r>
            <w:r>
              <w:rPr>
                <w:rFonts w:ascii="Calibri" w:cs="Calibri" w:eastAsia="Calibri" w:hAnsi="Calibri"/>
                <w:strike/>
                <w:color w:val="C00000"/>
              </w:rPr>
              <w:t xml:space="preserve">routine </w:t>
            </w:r>
            <w:r>
              <w:rPr>
                <w:rFonts w:ascii="Calibri" w:cs="Calibri" w:eastAsia="Calibri" w:hAnsi="Calibri"/>
              </w:rPr>
              <w:t xml:space="preserve">chronic disease follow-up</w:t>
            </w:r>
            <w:r>
              <w:rPr>
                <w:rFonts w:ascii="Calibri" w:cs="Calibri" w:eastAsia="Calibri" w:hAnsi="Calibri"/>
                <w:color w:val="0B5394"/>
                <w:u w:val="single" w:color="0B5394"/>
              </w:rPr>
              <w:t xml:space="preserve"> of type 2 diabetes and essential hypertension, approximately 4 weeks after lisinopril was increased from 10 mg to 20 mg daily</w:t>
            </w:r>
            <w:r>
              <w:rPr>
                <w:rFonts w:ascii="Calibri" w:cs="Calibri" w:eastAsia="Calibri" w:hAnsi="Calibri"/>
              </w:rPr>
              <w:t xml:space="preserve">.</w:t>
            </w:r>
            <w:r>
              <w:rPr>
                <w:rFonts w:ascii="Calibri" w:cs="Calibri" w:eastAsia="Calibri" w:hAnsi="Calibri"/>
              </w:rPr>
              <w:t xml:space="preserve"> </w:t>
            </w:r>
            <w:r>
              <w:rPr>
                <w:rFonts w:ascii="Calibri" w:cs="Calibri" w:eastAsia="Calibri" w:hAnsi="Calibri"/>
                <w:b/>
                <w:bCs/>
                <w:color w:val="FFFFFF"/>
                <w:sz w:val="14"/>
                <w:szCs w:val="14"/>
                <w:shd w:fill="1F3864" w:color="auto" w:val="clear"/>
              </w:rPr>
              <w:t xml:space="preserve"> A2 </w:t>
            </w:r>
            <w:r>
              <w:rPr>
                <w:rFonts w:ascii="Calibri" w:cs="Calibri" w:eastAsia="Calibri" w:hAnsi="Calibri"/>
              </w:rPr>
              <w:t xml:space="preserve"> Reports </w:t>
            </w:r>
            <w:r>
              <w:rPr>
                <w:rFonts w:ascii="Calibri" w:cs="Calibri" w:eastAsia="Calibri" w:hAnsi="Calibri"/>
                <w:strike/>
                <w:color w:val="C00000"/>
              </w:rPr>
              <w:t xml:space="preserve">mild</w:t>
            </w:r>
            <w:r>
              <w:rPr>
                <w:rFonts w:ascii="Calibri" w:cs="Calibri" w:eastAsia="Calibri" w:hAnsi="Calibri"/>
                <w:color w:val="0B5394"/>
                <w:u w:val="single" w:color="0B5394"/>
              </w:rPr>
              <w:t xml:space="preserve">new</w:t>
            </w:r>
            <w:r>
              <w:rPr>
                <w:rFonts w:ascii="Calibri" w:cs="Calibri" w:eastAsia="Calibri" w:hAnsi="Calibri"/>
              </w:rPr>
              <w:t xml:space="preserve"> morning dizziness upon standing</w:t>
            </w:r>
            <w:r>
              <w:rPr>
                <w:rFonts w:ascii="Calibri" w:cs="Calibri" w:eastAsia="Calibri" w:hAnsi="Calibri"/>
                <w:color w:val="0B5394"/>
                <w:u w:val="single" w:color="0B5394"/>
              </w:rPr>
              <w:t xml:space="preserve"> quickly, resolving within a few seconds</w:t>
            </w:r>
            <w:r>
              <w:rPr>
                <w:rFonts w:ascii="Calibri" w:cs="Calibri" w:eastAsia="Calibri" w:hAnsi="Calibri"/>
              </w:rPr>
              <w:t xml:space="preserve">.</w:t>
            </w:r>
            <w:r>
              <w:rPr>
                <w:rFonts w:ascii="Calibri" w:cs="Calibri" w:eastAsia="Calibri" w:hAnsi="Calibri"/>
              </w:rPr>
              <w:t xml:space="preserve"> </w:t>
            </w:r>
            <w:r>
              <w:rPr>
                <w:rFonts w:ascii="Calibri" w:cs="Calibri" w:eastAsia="Calibri" w:hAnsi="Calibri"/>
                <w:b/>
                <w:bCs/>
                <w:color w:val="FFFFFF"/>
                <w:sz w:val="14"/>
                <w:szCs w:val="14"/>
                <w:shd w:fill="1F3864" w:color="auto" w:val="clear"/>
              </w:rPr>
              <w:t xml:space="preserve"> A3 </w:t>
            </w:r>
            <w:r>
              <w:rPr>
                <w:rFonts w:ascii="Calibri" w:cs="Calibri" w:eastAsia="Calibri" w:hAnsi="Calibri"/>
              </w:rPr>
              <w:t xml:space="preserve"> </w:t>
            </w:r>
            <w:r>
              <w:rPr>
                <w:rFonts w:ascii="Calibri" w:cs="Calibri" w:eastAsia="Calibri" w:hAnsi="Calibri"/>
                <w:color w:val="0B5394"/>
                <w:u w:val="single" w:color="0B5394"/>
              </w:rPr>
              <w:t xml:space="preserve">No GI upset reported on metformin ER.</w:t>
            </w:r>
            <w:r>
              <w:rPr>
                <w:rFonts w:ascii="Calibri" w:cs="Calibri" w:eastAsia="Calibri" w:hAnsi="Calibri"/>
              </w:rPr>
              <w:t xml:space="preserve"> </w:t>
            </w:r>
            <w:r>
              <w:rPr>
                <w:rFonts w:ascii="Calibri" w:cs="Calibri" w:eastAsia="Calibri" w:hAnsi="Calibri"/>
                <w:b/>
                <w:bCs/>
                <w:color w:val="FFFFFF"/>
                <w:sz w:val="14"/>
                <w:szCs w:val="14"/>
                <w:shd w:fill="1F3864" w:color="auto" w:val="clear"/>
              </w:rPr>
              <w:t xml:space="preserve"> A4 </w:t>
            </w:r>
            <w:r>
              <w:rPr>
                <w:rFonts w:ascii="Calibri" w:cs="Calibri" w:eastAsia="Calibri" w:hAnsi="Calibri"/>
              </w:rPr>
              <w:t xml:space="preserve"> Patient discussed an upcoming 2-week cruise to Alaska next month and </w:t>
            </w:r>
            <w:r>
              <w:rPr>
                <w:rFonts w:ascii="Calibri" w:cs="Calibri" w:eastAsia="Calibri" w:hAnsi="Calibri"/>
                <w:strike/>
                <w:color w:val="C00000"/>
              </w:rPr>
              <w:t xml:space="preserve">requested travel clearance and medication management advice for the trip</w:t>
            </w:r>
            <w:r>
              <w:rPr>
                <w:rFonts w:ascii="Calibri" w:cs="Calibri" w:eastAsia="Calibri" w:hAnsi="Calibri"/>
                <w:color w:val="0B5394"/>
                <w:u w:val="single" w:color="0B5394"/>
              </w:rPr>
              <w:t xml:space="preserve">asked whether any special medication precautions are needed for travel</w:t>
            </w:r>
            <w:r>
              <w:rPr>
                <w:rFonts w:ascii="Calibri" w:cs="Calibri" w:eastAsia="Calibri" w:hAnsi="Calibri"/>
              </w:rPr>
              <w:t xml:space="preserve">.</w:t>
            </w:r>
            <w:r>
              <w:rPr>
                <w:rFonts w:ascii="Calibri" w:cs="Calibri" w:eastAsia="Calibri" w:hAnsi="Calibri"/>
              </w:rPr>
              <w:t xml:space="preserve"> </w:t>
            </w:r>
            <w:r>
              <w:rPr>
                <w:rFonts w:ascii="Calibri" w:cs="Calibri" w:eastAsia="Calibri" w:hAnsi="Calibri"/>
                <w:b/>
                <w:bCs/>
                <w:color w:val="FFFFFF"/>
                <w:sz w:val="14"/>
                <w:szCs w:val="14"/>
                <w:shd w:fill="1F3864" w:color="auto" w:val="clear"/>
              </w:rPr>
              <w:t xml:space="preserve"> A5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350"/>
        <w:gridCol w:w="3610"/>
        <w:gridCol w:w="700"/>
      </w:tblGrid>
      <w:tr>
        <w:trPr>
          <w:tblHeader/>
        </w:trPr>
        <w:tc>
          <w:tcPr>
            <w:tcW w:type="dxa" w:w="70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ID</w:t>
            </w:r>
          </w:p>
        </w:tc>
        <w:tc>
          <w:tcPr>
            <w:tcW w:type="dxa" w:w="300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Correction and reason</w:t>
            </w:r>
          </w:p>
        </w:tc>
        <w:tc>
          <w:tcPr>
            <w:tcW w:type="dxa" w:w="135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Standard</w:t>
            </w:r>
          </w:p>
        </w:tc>
        <w:tc>
          <w:tcPr>
            <w:tcW w:type="dxa" w:w="361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Transcript evidence</w:t>
            </w:r>
          </w:p>
        </w:tc>
        <w:tc>
          <w:tcPr>
            <w:tcW w:type="dxa" w:w="70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Log</w:t>
            </w:r>
          </w:p>
        </w:tc>
      </w:tr>
      <w:tr>
        <w:trPr>
          <w:cantSplit/>
        </w:trPr>
        <w:tc>
          <w:tcPr>
            <w:tcW w:type="dxa" w:w="7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0"/>
            </w:pPr>
            <w:r>
              <w:rPr>
                <w:rFonts w:ascii="Calibri" w:cs="Calibri" w:eastAsia="Calibri" w:hAnsi="Calibri"/>
                <w:b/>
                <w:bCs/>
                <w:color w:val="FFFFFF"/>
                <w:sz w:val="14"/>
                <w:szCs w:val="14"/>
                <w:shd w:fill="1F3864" w:color="auto" w:val="clear"/>
              </w:rPr>
              <w:t xml:space="preserve"> A1 </w:t>
            </w:r>
          </w:p>
        </w:tc>
        <w:tc>
          <w:tcPr>
            <w:tcW w:type="dxa" w:w="30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Added the recent lisinopril dose adjustment and the patient’s new complaint to the chief complaint. Both were the stated reasons for this visit.</w:t>
            </w:r>
          </w:p>
        </w:tc>
        <w:tc>
          <w:tcPr>
            <w:tcW w:type="dxa" w:w="135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Clinical encounter relevance</w:t>
            </w:r>
          </w:p>
        </w:tc>
        <w:tc>
          <w:tcPr>
            <w:tcW w:type="dxa" w:w="361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i/>
                <w:iCs/>
                <w:color w:val="3A3A3A"/>
                <w:sz w:val="18"/>
                <w:szCs w:val="18"/>
              </w:rPr>
              <w:t xml:space="preserve">Reason for Visit: “Recent medication adjustment.” Dr. Thorne: “especially since we increased your Lisinopril about four weeks ago.”</w:t>
            </w:r>
          </w:p>
        </w:tc>
        <w:tc>
          <w:tcPr>
            <w:tcW w:type="dxa" w:w="7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E6</w:t>
            </w:r>
          </w:p>
        </w:tc>
      </w:tr>
      <w:tr>
        <w:trPr>
          <w:cantSplit/>
        </w:trPr>
        <w:tc>
          <w:tcPr>
            <w:tcW w:type="dxa" w:w="7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0"/>
            </w:pPr>
            <w:r>
              <w:rPr>
                <w:rFonts w:ascii="Calibri" w:cs="Calibri" w:eastAsia="Calibri" w:hAnsi="Calibri"/>
                <w:b/>
                <w:bCs/>
                <w:color w:val="FFFFFF"/>
                <w:sz w:val="14"/>
                <w:szCs w:val="14"/>
                <w:shd w:fill="1F3864" w:color="auto" w:val="clear"/>
              </w:rPr>
              <w:t xml:space="preserve"> A2 </w:t>
            </w:r>
          </w:p>
        </w:tc>
        <w:tc>
          <w:tcPr>
            <w:tcW w:type="dxa" w:w="30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Removed “routine.” Added the lisinopril increase (10 → 20 mg, about 4 weeks ago) that prompted the visit. The prior 10 mg dose is implied by “back down… to 10 mg”; verify against medication history at order entry.</w:t>
            </w:r>
          </w:p>
        </w:tc>
        <w:tc>
          <w:tcPr>
            <w:tcW w:type="dxa" w:w="135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Clinical encounter relevance</w:t>
            </w:r>
          </w:p>
        </w:tc>
        <w:tc>
          <w:tcPr>
            <w:tcW w:type="dxa" w:w="361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i/>
                <w:iCs/>
                <w:color w:val="3A3A3A"/>
                <w:sz w:val="18"/>
                <w:szCs w:val="18"/>
              </w:rPr>
              <w:t xml:space="preserve">“we increased your Lisinopril about four weeks ago”; “step your Lisinopril back down from 20 mg daily to 10 mg daily.”</w:t>
            </w:r>
          </w:p>
        </w:tc>
        <w:tc>
          <w:tcPr>
            <w:tcW w:type="dxa" w:w="7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E6</w:t>
            </w:r>
          </w:p>
        </w:tc>
      </w:tr>
      <w:tr>
        <w:trPr>
          <w:cantSplit/>
        </w:trPr>
        <w:tc>
          <w:tcPr>
            <w:tcW w:type="dxa" w:w="7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0"/>
            </w:pPr>
            <w:r>
              <w:rPr>
                <w:rFonts w:ascii="Calibri" w:cs="Calibri" w:eastAsia="Calibri" w:hAnsi="Calibri"/>
                <w:b/>
                <w:bCs/>
                <w:color w:val="FFFFFF"/>
                <w:sz w:val="14"/>
                <w:szCs w:val="14"/>
                <w:shd w:fill="1F3864" w:color="auto" w:val="clear"/>
              </w:rPr>
              <w:t xml:space="preserve"> A3 </w:t>
            </w:r>
          </w:p>
        </w:tc>
        <w:tc>
          <w:tcPr>
            <w:tcW w:type="dxa" w:w="30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Removed “mild,” which the patient never said. Added onset, trigger and duration. The patient did not time the onset to the dose increase, so that link is kept in the Assessment as the clinician’s reasoning rather than added to the History.</w:t>
            </w:r>
          </w:p>
        </w:tc>
        <w:tc>
          <w:tcPr>
            <w:tcW w:type="dxa" w:w="135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Clinical specificity</w:t>
            </w:r>
          </w:p>
        </w:tc>
        <w:tc>
          <w:tcPr>
            <w:tcW w:type="dxa" w:w="361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i/>
                <w:iCs/>
                <w:color w:val="3A3A3A"/>
                <w:sz w:val="18"/>
                <w:szCs w:val="18"/>
              </w:rPr>
              <w:t xml:space="preserve">Mrs. Vance: “dizziness when I stand up quickly in the morning. It passes after a few seconds, but it’s new.”</w:t>
            </w:r>
          </w:p>
        </w:tc>
        <w:tc>
          <w:tcPr>
            <w:tcW w:type="dxa" w:w="7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E6</w:t>
            </w:r>
          </w:p>
        </w:tc>
      </w:tr>
      <w:tr>
        <w:trPr>
          <w:cantSplit/>
        </w:trPr>
        <w:tc>
          <w:tcPr>
            <w:tcW w:type="dxa" w:w="7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0"/>
            </w:pPr>
            <w:r>
              <w:rPr>
                <w:rFonts w:ascii="Calibri" w:cs="Calibri" w:eastAsia="Calibri" w:hAnsi="Calibri"/>
                <w:b/>
                <w:bCs/>
                <w:color w:val="FFFFFF"/>
                <w:sz w:val="14"/>
                <w:szCs w:val="14"/>
                <w:shd w:fill="1F3864" w:color="auto" w:val="clear"/>
              </w:rPr>
              <w:t xml:space="preserve"> A4 </w:t>
            </w:r>
          </w:p>
        </w:tc>
        <w:tc>
          <w:tcPr>
            <w:tcW w:type="dxa" w:w="30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Added the pertinent negative for metformin tolerance, which supports continuing the drug unchanged.</w:t>
            </w:r>
          </w:p>
        </w:tc>
        <w:tc>
          <w:tcPr>
            <w:tcW w:type="dxa" w:w="135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Completeness</w:t>
            </w:r>
          </w:p>
        </w:tc>
        <w:tc>
          <w:tcPr>
            <w:tcW w:type="dxa" w:w="361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i/>
                <w:iCs/>
                <w:color w:val="3A3A3A"/>
                <w:sz w:val="18"/>
                <w:szCs w:val="18"/>
              </w:rPr>
              <w:t xml:space="preserve">Dr. Thorne: “you haven’t reported any stomach upset.”</w:t>
            </w:r>
          </w:p>
        </w:tc>
        <w:tc>
          <w:tcPr>
            <w:tcW w:type="dxa" w:w="7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E6</w:t>
            </w:r>
          </w:p>
        </w:tc>
      </w:tr>
      <w:tr>
        <w:trPr>
          <w:cantSplit/>
        </w:trPr>
        <w:tc>
          <w:tcPr>
            <w:tcW w:type="dxa" w:w="7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0"/>
            </w:pPr>
            <w:r>
              <w:rPr>
                <w:rFonts w:ascii="Calibri" w:cs="Calibri" w:eastAsia="Calibri" w:hAnsi="Calibri"/>
                <w:b/>
                <w:bCs/>
                <w:color w:val="FFFFFF"/>
                <w:sz w:val="14"/>
                <w:szCs w:val="14"/>
                <w:shd w:fill="1F3864" w:color="auto" w:val="clear"/>
              </w:rPr>
              <w:t xml:space="preserve"> A5 </w:t>
            </w:r>
          </w:p>
        </w:tc>
        <w:tc>
          <w:tcPr>
            <w:tcW w:type="dxa" w:w="30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Replaced “requested travel clearance” with what the patient actually asked. No clearance was requested.</w:t>
            </w:r>
          </w:p>
        </w:tc>
        <w:tc>
          <w:tcPr>
            <w:tcW w:type="dxa" w:w="135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Clinical specificity</w:t>
            </w:r>
          </w:p>
        </w:tc>
        <w:tc>
          <w:tcPr>
            <w:tcW w:type="dxa" w:w="361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i/>
                <w:iCs/>
                <w:color w:val="3A3A3A"/>
                <w:sz w:val="18"/>
                <w:szCs w:val="18"/>
              </w:rPr>
              <w:t xml:space="preserve">Mrs. Vance: “Is there anything special I need to do with my meds for traveling?”</w:t>
            </w:r>
          </w:p>
        </w:tc>
        <w:tc>
          <w:tcPr>
            <w:tcW w:type="dxa" w:w="7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E7</w:t>
            </w:r>
          </w:p>
        </w:tc>
      </w:tr>
    </w:tbl>
    <w:p>
      <w:pPr>
        <w:pStyle w:val="Heading2"/>
      </w:pPr>
      <w:r>
        <w:rPr>
          <w:rFonts w:ascii="Calibri" w:cs="Calibri" w:eastAsia="Calibri" w:hAnsi="Calibri"/>
        </w:rPr>
        <w:t xml:space="preserve">Objective (supplementary review)</w:t>
      </w:r>
    </w:p>
    <w:p>
      <w:pPr>
        <w:spacing w:after="100" w:line="276"/>
      </w:pPr>
      <w:r>
        <w:rPr>
          <w:rFonts w:ascii="Calibri" w:cs="Calibri" w:eastAsia="Calibri" w:hAnsi="Calibri"/>
          <w:color w:val="595959"/>
          <w:sz w:val="18"/>
          <w:szCs w:val="18"/>
        </w:rPr>
        <w:t xml:space="preserve">Objective is outside the three required sections. It is included because two Assessment corrections depend on values recorded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6" w:sz="4"/>
              <w:left w:val="single" w:color="8EA9DB" w:sz="24"/>
              <w:bottom w:val="single" w:color="C9CED6" w:sz="4"/>
              <w:right w:val="single" w:color="C9CED6" w:sz="4"/>
            </w:tcBorders>
            <w:shd w:fill="F7F9FC" w:color="auto" w:val="clear"/>
            <w:tcMar>
              <w:top w:type="dxa" w:w="140"/>
              <w:left w:type="dxa" w:w="220"/>
              <w:bottom w:type="dxa" w:w="100"/>
              <w:right w:type="dxa" w:w="200"/>
            </w:tcMar>
            <w:vAlign w:val="top"/>
          </w:tcPr>
          <w:p>
            <w:pPr>
              <w:pStyle w:val="ListParagraph"/>
              <w:numPr>
                <w:ilvl w:val="0"/>
                <w:numId w:val="4"/>
              </w:numPr>
              <w:spacing w:after="70" w:line="288"/>
            </w:pPr>
            <w:r>
              <w:rPr>
                <w:rFonts w:ascii="Calibri" w:cs="Calibri" w:eastAsia="Calibri" w:hAnsi="Calibri"/>
                <w:b/>
                <w:bCs/>
              </w:rPr>
              <w:t xml:space="preserve">Vital Signs: </w:t>
            </w:r>
            <w:r>
              <w:rPr>
                <w:rFonts w:ascii="Calibri" w:cs="Calibri" w:eastAsia="Calibri" w:hAnsi="Calibri"/>
              </w:rPr>
              <w:t xml:space="preserve">BP: 118/74 mmHg</w:t>
            </w:r>
            <w:r>
              <w:rPr>
                <w:rFonts w:ascii="Calibri" w:cs="Calibri" w:eastAsia="Calibri" w:hAnsi="Calibri"/>
                <w:color w:val="0B5394"/>
                <w:u w:val="single" w:color="0B5394"/>
              </w:rPr>
              <w:t xml:space="preserve"> (office)</w:t>
            </w:r>
            <w:r>
              <w:rPr>
                <w:rFonts w:ascii="Calibri" w:cs="Calibri" w:eastAsia="Calibri" w:hAnsi="Calibri"/>
              </w:rPr>
              <w:t xml:space="preserve">.</w:t>
            </w:r>
          </w:p>
          <w:p>
            <w:pPr>
              <w:pStyle w:val="ListParagraph"/>
              <w:numPr>
                <w:ilvl w:val="0"/>
                <w:numId w:val="4"/>
              </w:numPr>
              <w:spacing w:after="70" w:line="288"/>
            </w:pPr>
            <w:r>
              <w:rPr>
                <w:rFonts w:ascii="Calibri" w:cs="Calibri" w:eastAsia="Calibri" w:hAnsi="Calibri"/>
                <w:color w:val="0B5394"/>
                <w:u w:val="single" w:color="0B5394"/>
              </w:rPr>
              <w:t xml:space="preserve">Home BP Log: average approximately 114/70 mmHg; 142/88 mmHg before the lisinopril increase.</w:t>
            </w:r>
            <w:r>
              <w:rPr>
                <w:rFonts w:ascii="Calibri" w:cs="Calibri" w:eastAsia="Calibri" w:hAnsi="Calibri"/>
              </w:rPr>
              <w:t xml:space="preserve"> </w:t>
            </w:r>
            <w:r>
              <w:rPr>
                <w:rFonts w:ascii="Calibri" w:cs="Calibri" w:eastAsia="Calibri" w:hAnsi="Calibri"/>
                <w:b/>
                <w:bCs/>
                <w:color w:val="FFFFFF"/>
                <w:sz w:val="14"/>
                <w:szCs w:val="14"/>
                <w:shd w:fill="1F3864" w:color="auto" w:val="clear"/>
              </w:rPr>
              <w:t xml:space="preserve"> A6 </w:t>
            </w:r>
          </w:p>
          <w:p>
            <w:pPr>
              <w:pStyle w:val="ListParagraph"/>
              <w:numPr>
                <w:ilvl w:val="0"/>
                <w:numId w:val="4"/>
              </w:numPr>
              <w:spacing w:after="70" w:line="288"/>
            </w:pPr>
            <w:r>
              <w:rPr>
                <w:rFonts w:ascii="Calibri" w:cs="Calibri" w:eastAsia="Calibri" w:hAnsi="Calibri"/>
                <w:b/>
                <w:bCs/>
              </w:rPr>
              <w:t xml:space="preserve">Labs and Monitoring: </w:t>
            </w:r>
            <w:r>
              <w:rPr>
                <w:rFonts w:ascii="Calibri" w:cs="Calibri" w:eastAsia="Calibri" w:hAnsi="Calibri"/>
              </w:rPr>
              <w:t xml:space="preserve">HbA1c: 6.8% </w:t>
            </w:r>
            <w:r>
              <w:rPr>
                <w:rFonts w:ascii="Calibri" w:cs="Calibri" w:eastAsia="Calibri" w:hAnsi="Calibri"/>
                <w:color w:val="0B5394"/>
                <w:u w:val="single" w:color="0B5394"/>
              </w:rPr>
              <w:t xml:space="preserve">(from the week before this visit) </w:t>
            </w:r>
            <w:r>
              <w:rPr>
                <w:rFonts w:ascii="Calibri" w:cs="Calibri" w:eastAsia="Calibri" w:hAnsi="Calibri"/>
              </w:rPr>
              <w:t xml:space="preserve">(Down from 7.4%). Fasting glucose log average: 115 mg/dL.</w:t>
            </w:r>
            <w:r>
              <w:rPr>
                <w:rFonts w:ascii="Calibri" w:cs="Calibri" w:eastAsia="Calibri" w:hAnsi="Calibri"/>
              </w:rPr>
              <w:t xml:space="preserve"> </w:t>
            </w:r>
            <w:r>
              <w:rPr>
                <w:rFonts w:ascii="Calibri" w:cs="Calibri" w:eastAsia="Calibri" w:hAnsi="Calibri"/>
                <w:b/>
                <w:bCs/>
                <w:color w:val="FFFFFF"/>
                <w:sz w:val="14"/>
                <w:szCs w:val="14"/>
                <w:shd w:fill="1F3864" w:color="auto" w:val="clear"/>
              </w:rPr>
              <w:t xml:space="preserve"> A7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350"/>
        <w:gridCol w:w="3610"/>
        <w:gridCol w:w="700"/>
      </w:tblGrid>
      <w:tr>
        <w:trPr>
          <w:tblHeader/>
        </w:trPr>
        <w:tc>
          <w:tcPr>
            <w:tcW w:type="dxa" w:w="70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ID</w:t>
            </w:r>
          </w:p>
        </w:tc>
        <w:tc>
          <w:tcPr>
            <w:tcW w:type="dxa" w:w="300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Correction and reason</w:t>
            </w:r>
          </w:p>
        </w:tc>
        <w:tc>
          <w:tcPr>
            <w:tcW w:type="dxa" w:w="135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Standard</w:t>
            </w:r>
          </w:p>
        </w:tc>
        <w:tc>
          <w:tcPr>
            <w:tcW w:type="dxa" w:w="361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Transcript evidence</w:t>
            </w:r>
          </w:p>
        </w:tc>
        <w:tc>
          <w:tcPr>
            <w:tcW w:type="dxa" w:w="70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Log</w:t>
            </w:r>
          </w:p>
        </w:tc>
      </w:tr>
      <w:tr>
        <w:trPr>
          <w:cantSplit/>
        </w:trPr>
        <w:tc>
          <w:tcPr>
            <w:tcW w:type="dxa" w:w="7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0"/>
            </w:pPr>
            <w:r>
              <w:rPr>
                <w:rFonts w:ascii="Calibri" w:cs="Calibri" w:eastAsia="Calibri" w:hAnsi="Calibri"/>
                <w:b/>
                <w:bCs/>
                <w:color w:val="FFFFFF"/>
                <w:sz w:val="14"/>
                <w:szCs w:val="14"/>
                <w:shd w:fill="1F3864" w:color="auto" w:val="clear"/>
              </w:rPr>
              <w:t xml:space="preserve"> A6 </w:t>
            </w:r>
          </w:p>
        </w:tc>
        <w:tc>
          <w:tcPr>
            <w:tcW w:type="dxa" w:w="30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Added the home BP average and the pre-increase BP, and labeled 118/74 mmHg as the office reading. These values are the basis for the dose reduction.</w:t>
            </w:r>
          </w:p>
        </w:tc>
        <w:tc>
          <w:tcPr>
            <w:tcW w:type="dxa" w:w="135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Completeness</w:t>
            </w:r>
          </w:p>
        </w:tc>
        <w:tc>
          <w:tcPr>
            <w:tcW w:type="dxa" w:w="361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i/>
                <w:iCs/>
                <w:color w:val="3A3A3A"/>
                <w:sz w:val="18"/>
                <w:szCs w:val="18"/>
              </w:rPr>
              <w:t xml:space="preserve">“Your home readings have averaged around 114/70 mmHg. That’s a significant drop from 142/88 mmHg before we increased the Lisinopril.”</w:t>
            </w:r>
          </w:p>
        </w:tc>
        <w:tc>
          <w:tcPr>
            <w:tcW w:type="dxa" w:w="7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E6</w:t>
            </w:r>
          </w:p>
        </w:tc>
      </w:tr>
      <w:tr>
        <w:trPr>
          <w:cantSplit/>
        </w:trPr>
        <w:tc>
          <w:tcPr>
            <w:tcW w:type="dxa" w:w="7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0"/>
            </w:pPr>
            <w:r>
              <w:rPr>
                <w:rFonts w:ascii="Calibri" w:cs="Calibri" w:eastAsia="Calibri" w:hAnsi="Calibri"/>
                <w:b/>
                <w:bCs/>
                <w:color w:val="FFFFFF"/>
                <w:sz w:val="14"/>
                <w:szCs w:val="14"/>
                <w:shd w:fill="1F3864" w:color="auto" w:val="clear"/>
              </w:rPr>
              <w:t xml:space="preserve"> A7 </w:t>
            </w:r>
          </w:p>
        </w:tc>
        <w:tc>
          <w:tcPr>
            <w:tcW w:type="dxa" w:w="30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Added HbA1c timing. Spoken values were verified. Other vital signs (“today’s vitals”) were never spoken aloud and must be entered from the vitals flowsheet, not inferred.</w:t>
            </w:r>
          </w:p>
        </w:tc>
        <w:tc>
          <w:tcPr>
            <w:tcW w:type="dxa" w:w="135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Clinical specificity</w:t>
            </w:r>
          </w:p>
        </w:tc>
        <w:tc>
          <w:tcPr>
            <w:tcW w:type="dxa" w:w="361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i/>
                <w:iCs/>
                <w:color w:val="3A3A3A"/>
                <w:sz w:val="18"/>
                <w:szCs w:val="18"/>
              </w:rPr>
              <w:t xml:space="preserve">“Your HbA1c from last week was 6.8%”; “Let’s look at your home log and today’s vitals.”</w:t>
            </w:r>
          </w:p>
        </w:tc>
        <w:tc>
          <w:tcPr>
            <w:tcW w:type="dxa" w:w="7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E10</w:t>
            </w:r>
          </w:p>
        </w:tc>
      </w:tr>
    </w:tbl>
    <w:p>
      <w:pPr>
        <w:pStyle w:val="Heading2"/>
      </w:pPr>
      <w:r>
        <w:rPr>
          <w:rFonts w:ascii="Calibri" w:cs="Calibri" w:eastAsia="Calibri" w:hAnsi="Calibri"/>
        </w:rPr>
        <w:t xml:space="preserve">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6" w:sz="4"/>
              <w:left w:val="single" w:color="8EA9DB" w:sz="24"/>
              <w:bottom w:val="single" w:color="C9CED6" w:sz="4"/>
              <w:right w:val="single" w:color="C9CED6" w:sz="4"/>
            </w:tcBorders>
            <w:shd w:fill="F7F9FC" w:color="auto" w:val="clear"/>
            <w:tcMar>
              <w:top w:type="dxa" w:w="140"/>
              <w:left w:type="dxa" w:w="220"/>
              <w:bottom w:type="dxa" w:w="100"/>
              <w:right w:type="dxa" w:w="200"/>
            </w:tcMar>
            <w:vAlign w:val="top"/>
          </w:tcPr>
          <w:p>
            <w:pPr>
              <w:spacing w:after="90" w:line="288"/>
              <w:ind w:left="300" w:hanging="300"/>
            </w:pPr>
            <w:r>
              <w:rPr>
                <w:rFonts w:ascii="Calibri" w:cs="Calibri" w:eastAsia="Calibri" w:hAnsi="Calibri"/>
                <w:b/>
                <w:bCs/>
              </w:rPr>
              <w:t xml:space="preserve">1. Essential Hypertension: </w:t>
            </w:r>
            <w:r>
              <w:rPr>
                <w:rFonts w:ascii="Calibri" w:cs="Calibri" w:eastAsia="Calibri" w:hAnsi="Calibri"/>
                <w:strike/>
                <w:color w:val="C00000"/>
              </w:rPr>
              <w:t xml:space="preserve">Controlled, but the patient is experiencing orthostatic symptoms secondary to recent antihypertensive titration. Blood pressure is currently lower than the target range.</w:t>
            </w:r>
            <w:r>
              <w:rPr>
                <w:rFonts w:ascii="Calibri" w:cs="Calibri" w:eastAsia="Calibri" w:hAnsi="Calibri"/>
              </w:rPr>
              <w:t xml:space="preserve"> </w:t>
            </w:r>
            <w:r>
              <w:rPr>
                <w:rFonts w:ascii="Calibri" w:cs="Calibri" w:eastAsia="Calibri" w:hAnsi="Calibri"/>
                <w:color w:val="0B5394"/>
                <w:u w:val="single" w:color="0B5394"/>
              </w:rPr>
              <w:t xml:space="preserve">Blood pressure lower than needed on lisinopril 20 mg daily (office 118/74 mmHg; home average approximately 114/70 mmHg; 142/88 mmHg before the dose increase about 4 weeks ago). New orthostatic dizziness, attributed by the clinician to the lower blood pressure following the dose increase.</w:t>
            </w:r>
            <w:r>
              <w:rPr>
                <w:rFonts w:ascii="Calibri" w:cs="Calibri" w:eastAsia="Calibri" w:hAnsi="Calibri"/>
              </w:rPr>
              <w:t xml:space="preserve"> </w:t>
            </w:r>
            <w:r>
              <w:rPr>
                <w:rFonts w:ascii="Calibri" w:cs="Calibri" w:eastAsia="Calibri" w:hAnsi="Calibri"/>
                <w:b/>
                <w:bCs/>
                <w:color w:val="FFFFFF"/>
                <w:sz w:val="14"/>
                <w:szCs w:val="14"/>
                <w:shd w:fill="1F3864" w:color="auto" w:val="clear"/>
              </w:rPr>
              <w:t xml:space="preserve"> A8 </w:t>
            </w:r>
          </w:p>
          <w:p>
            <w:pPr>
              <w:spacing w:after="90" w:line="288"/>
              <w:ind w:left="300" w:hanging="300"/>
            </w:pPr>
            <w:r>
              <w:rPr>
                <w:rFonts w:ascii="Calibri" w:cs="Calibri" w:eastAsia="Calibri" w:hAnsi="Calibri"/>
                <w:b/>
                <w:bCs/>
              </w:rPr>
              <w:t xml:space="preserve">2. Type 2 Diabetes Mellitus</w:t>
            </w:r>
            <w:r>
              <w:rPr>
                <w:rFonts w:ascii="Calibri" w:cs="Calibri" w:eastAsia="Calibri" w:hAnsi="Calibri"/>
                <w:strike/>
                <w:color w:val="C00000"/>
              </w:rPr>
              <w:t xml:space="preserve"> without complications</w:t>
            </w:r>
            <w:r>
              <w:rPr>
                <w:rFonts w:ascii="Calibri" w:cs="Calibri" w:eastAsia="Calibri" w:hAnsi="Calibri"/>
              </w:rPr>
              <w:t xml:space="preserve"> </w:t>
            </w:r>
            <w:r>
              <w:rPr>
                <w:rFonts w:ascii="Calibri" w:cs="Calibri" w:eastAsia="Calibri" w:hAnsi="Calibri"/>
                <w:b/>
                <w:bCs/>
                <w:color w:val="FFFFFF"/>
                <w:sz w:val="14"/>
                <w:szCs w:val="14"/>
                <w:shd w:fill="1F3864" w:color="auto" w:val="clear"/>
              </w:rPr>
              <w:t xml:space="preserve"> A9 </w:t>
            </w:r>
            <w:r>
              <w:rPr>
                <w:rFonts w:ascii="Calibri" w:cs="Calibri" w:eastAsia="Calibri" w:hAnsi="Calibri"/>
                <w:b/>
                <w:bCs/>
              </w:rPr>
              <w:t xml:space="preserve">: </w:t>
            </w:r>
            <w:r>
              <w:rPr>
                <w:rFonts w:ascii="Calibri" w:cs="Calibri" w:eastAsia="Calibri" w:hAnsi="Calibri"/>
                <w:strike/>
                <w:color w:val="C00000"/>
              </w:rPr>
              <w:t xml:space="preserve">Well-controlled on current oral agent regimen.</w:t>
            </w:r>
            <w:r>
              <w:rPr>
                <w:rFonts w:ascii="Calibri" w:cs="Calibri" w:eastAsia="Calibri" w:hAnsi="Calibri"/>
              </w:rPr>
              <w:t xml:space="preserve"> </w:t>
            </w:r>
            <w:r>
              <w:rPr>
                <w:rFonts w:ascii="Calibri" w:cs="Calibri" w:eastAsia="Calibri" w:hAnsi="Calibri"/>
                <w:color w:val="0B5394"/>
                <w:u w:val="single" w:color="0B5394"/>
              </w:rPr>
              <w:t xml:space="preserve">Improved glycemic control on metformin ER 1000 mg twice daily: HbA1c 6.8% (from 7.4%); fasting glucose log average approximately 115 mg/dL; no GI upset reported.</w:t>
            </w:r>
            <w:r>
              <w:rPr>
                <w:rFonts w:ascii="Calibri" w:cs="Calibri" w:eastAsia="Calibri" w:hAnsi="Calibri"/>
              </w:rPr>
              <w:t xml:space="preserve"> </w:t>
            </w:r>
            <w:r>
              <w:rPr>
                <w:rFonts w:ascii="Calibri" w:cs="Calibri" w:eastAsia="Calibri" w:hAnsi="Calibri"/>
                <w:b/>
                <w:bCs/>
                <w:color w:val="FFFFFF"/>
                <w:sz w:val="14"/>
                <w:szCs w:val="14"/>
                <w:shd w:fill="1F3864" w:color="auto" w:val="clear"/>
              </w:rPr>
              <w:t xml:space="preserve"> A10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350"/>
        <w:gridCol w:w="3610"/>
        <w:gridCol w:w="700"/>
      </w:tblGrid>
      <w:tr>
        <w:trPr>
          <w:tblHeader/>
        </w:trPr>
        <w:tc>
          <w:tcPr>
            <w:tcW w:type="dxa" w:w="70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ID</w:t>
            </w:r>
          </w:p>
        </w:tc>
        <w:tc>
          <w:tcPr>
            <w:tcW w:type="dxa" w:w="300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Correction and reason</w:t>
            </w:r>
          </w:p>
        </w:tc>
        <w:tc>
          <w:tcPr>
            <w:tcW w:type="dxa" w:w="135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Standard</w:t>
            </w:r>
          </w:p>
        </w:tc>
        <w:tc>
          <w:tcPr>
            <w:tcW w:type="dxa" w:w="361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Transcript evidence</w:t>
            </w:r>
          </w:p>
        </w:tc>
        <w:tc>
          <w:tcPr>
            <w:tcW w:type="dxa" w:w="70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Log</w:t>
            </w:r>
          </w:p>
        </w:tc>
      </w:tr>
      <w:tr>
        <w:trPr>
          <w:cantSplit/>
        </w:trPr>
        <w:tc>
          <w:tcPr>
            <w:tcW w:type="dxa" w:w="7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0"/>
            </w:pPr>
            <w:r>
              <w:rPr>
                <w:rFonts w:ascii="Calibri" w:cs="Calibri" w:eastAsia="Calibri" w:hAnsi="Calibri"/>
                <w:b/>
                <w:bCs/>
                <w:color w:val="FFFFFF"/>
                <w:sz w:val="14"/>
                <w:szCs w:val="14"/>
                <w:shd w:fill="1F3864" w:color="auto" w:val="clear"/>
              </w:rPr>
              <w:t xml:space="preserve"> A8 </w:t>
            </w:r>
          </w:p>
        </w:tc>
        <w:tc>
          <w:tcPr>
            <w:tcW w:type="dxa" w:w="30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Replaced the self-contradictory “Controlled, but… lower than the target range” with the drug, dose, BP values and the clinician’s attribution. Kept the clinician’s term “orthostatic dizziness.” “Orthostatic hypotension” is not used because no orthostatic vital signs were recorded.</w:t>
            </w:r>
          </w:p>
        </w:tc>
        <w:tc>
          <w:tcPr>
            <w:tcW w:type="dxa" w:w="135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Clinical specificity</w:t>
            </w:r>
          </w:p>
        </w:tc>
        <w:tc>
          <w:tcPr>
            <w:tcW w:type="dxa" w:w="361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i/>
                <w:iCs/>
                <w:color w:val="3A3A3A"/>
                <w:sz w:val="18"/>
                <w:szCs w:val="18"/>
              </w:rPr>
              <w:t xml:space="preserve">“It’s a bit lower than we need, which explains the lightheadedness”; “That should resolve the orthostatic dizziness.”</w:t>
            </w:r>
          </w:p>
        </w:tc>
        <w:tc>
          <w:tcPr>
            <w:tcW w:type="dxa" w:w="7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E6</w:t>
            </w:r>
          </w:p>
        </w:tc>
      </w:tr>
      <w:tr>
        <w:trPr>
          <w:cantSplit/>
        </w:trPr>
        <w:tc>
          <w:tcPr>
            <w:tcW w:type="dxa" w:w="7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0"/>
            </w:pPr>
            <w:r>
              <w:rPr>
                <w:rFonts w:ascii="Calibri" w:cs="Calibri" w:eastAsia="Calibri" w:hAnsi="Calibri"/>
                <w:b/>
                <w:bCs/>
                <w:color w:val="FFFFFF"/>
                <w:sz w:val="14"/>
                <w:szCs w:val="14"/>
                <w:shd w:fill="1F3864" w:color="auto" w:val="clear"/>
              </w:rPr>
              <w:t xml:space="preserve"> A9 </w:t>
            </w:r>
          </w:p>
        </w:tc>
        <w:tc>
          <w:tcPr>
            <w:tcW w:type="dxa" w:w="30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Struck “without complications.” Complication status was never discussed, and this phrase drove the E11.9 code. Restore only if Dr. Thorne confirms.</w:t>
            </w:r>
          </w:p>
        </w:tc>
        <w:tc>
          <w:tcPr>
            <w:tcW w:type="dxa" w:w="135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Clinical specificity</w:t>
            </w:r>
          </w:p>
        </w:tc>
        <w:tc>
          <w:tcPr>
            <w:tcW w:type="dxa" w:w="361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i/>
                <w:iCs/>
                <w:color w:val="3A3A3A"/>
                <w:sz w:val="18"/>
                <w:szCs w:val="18"/>
              </w:rPr>
              <w:t xml:space="preserve">No discussion of diabetic complications anywhere in the transcript.</w:t>
            </w:r>
          </w:p>
        </w:tc>
        <w:tc>
          <w:tcPr>
            <w:tcW w:type="dxa" w:w="7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E8</w:t>
            </w:r>
          </w:p>
        </w:tc>
      </w:tr>
      <w:tr>
        <w:trPr>
          <w:cantSplit/>
        </w:trPr>
        <w:tc>
          <w:tcPr>
            <w:tcW w:type="dxa" w:w="7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0"/>
            </w:pPr>
            <w:r>
              <w:rPr>
                <w:rFonts w:ascii="Calibri" w:cs="Calibri" w:eastAsia="Calibri" w:hAnsi="Calibri"/>
                <w:b/>
                <w:bCs/>
                <w:color w:val="FFFFFF"/>
                <w:sz w:val="14"/>
                <w:szCs w:val="14"/>
                <w:shd w:fill="1F3864" w:color="auto" w:val="clear"/>
              </w:rPr>
              <w:t xml:space="preserve"> A10 </w:t>
            </w:r>
          </w:p>
        </w:tc>
        <w:tc>
          <w:tcPr>
            <w:tcW w:type="dxa" w:w="30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Named the drug, dose and supporting data in place of “current oral agent regimen.” Replaced “well-controlled” with the clinician’s own assessment, backed by values.</w:t>
            </w:r>
          </w:p>
        </w:tc>
        <w:tc>
          <w:tcPr>
            <w:tcW w:type="dxa" w:w="135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Clinical specificity</w:t>
            </w:r>
          </w:p>
        </w:tc>
        <w:tc>
          <w:tcPr>
            <w:tcW w:type="dxa" w:w="361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i/>
                <w:iCs/>
                <w:color w:val="3A3A3A"/>
                <w:sz w:val="18"/>
                <w:szCs w:val="18"/>
              </w:rPr>
              <w:t xml:space="preserve">“HbA1c from last week was 6.8%, down from 7.4%. The Metformin ER 1000 mg twice daily is working well.”</w:t>
            </w:r>
          </w:p>
        </w:tc>
        <w:tc>
          <w:tcPr>
            <w:tcW w:type="dxa" w:w="7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E8</w:t>
            </w:r>
          </w:p>
        </w:tc>
      </w:tr>
    </w:tbl>
    <w:p>
      <w:pPr>
        <w:pStyle w:val="Heading2"/>
      </w:pPr>
      <w:r>
        <w:rPr>
          <w:rFonts w:ascii="Calibri" w:cs="Calibri" w:eastAsia="Calibri" w:hAnsi="Calibri"/>
        </w:rPr>
        <w:t xml:space="preserve">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6" w:sz="4"/>
              <w:left w:val="single" w:color="8EA9DB" w:sz="24"/>
              <w:bottom w:val="single" w:color="C9CED6" w:sz="4"/>
              <w:right w:val="single" w:color="C9CED6" w:sz="4"/>
            </w:tcBorders>
            <w:shd w:fill="F7F9FC" w:color="auto" w:val="clear"/>
            <w:tcMar>
              <w:top w:type="dxa" w:w="140"/>
              <w:left w:type="dxa" w:w="220"/>
              <w:bottom w:type="dxa" w:w="100"/>
              <w:right w:type="dxa" w:w="200"/>
            </w:tcMar>
            <w:vAlign w:val="top"/>
          </w:tcPr>
          <w:p>
            <w:pPr>
              <w:spacing w:after="90" w:line="288"/>
            </w:pPr>
            <w:r>
              <w:rPr>
                <w:rFonts w:ascii="Calibri" w:cs="Calibri" w:eastAsia="Calibri" w:hAnsi="Calibri"/>
                <w:b/>
                <w:bCs/>
              </w:rPr>
              <w:t xml:space="preserve">1. Essential Hypertension:</w:t>
            </w:r>
          </w:p>
          <w:p>
            <w:pPr>
              <w:pStyle w:val="ListParagraph"/>
              <w:numPr>
                <w:ilvl w:val="0"/>
                <w:numId w:val="4"/>
              </w:numPr>
              <w:spacing w:after="70" w:line="288"/>
            </w:pPr>
            <w:r>
              <w:rPr>
                <w:rFonts w:ascii="Calibri" w:cs="Calibri" w:eastAsia="Calibri" w:hAnsi="Calibri"/>
              </w:rPr>
              <w:t xml:space="preserve">Decrease Lisinopril from 20 mg daily to </w:t>
            </w:r>
            <w:r>
              <w:rPr>
                <w:rFonts w:ascii="Calibri" w:cs="Calibri" w:eastAsia="Calibri" w:hAnsi="Calibri"/>
                <w:strike/>
                <w:color w:val="C00000"/>
              </w:rPr>
              <w:t xml:space="preserve">5 mg</w:t>
            </w:r>
            <w:r>
              <w:rPr>
                <w:rFonts w:ascii="Calibri" w:cs="Calibri" w:eastAsia="Calibri" w:hAnsi="Calibri"/>
                <w:color w:val="0B5394"/>
                <w:u w:val="single" w:color="0B5394"/>
              </w:rPr>
              <w:t xml:space="preserve">10 mg</w:t>
            </w:r>
            <w:r>
              <w:rPr>
                <w:rFonts w:ascii="Calibri" w:cs="Calibri" w:eastAsia="Calibri" w:hAnsi="Calibri"/>
              </w:rPr>
              <w:t xml:space="preserve"> daily starting tomorrow morning</w:t>
            </w:r>
            <w:r>
              <w:rPr>
                <w:rFonts w:ascii="Calibri" w:cs="Calibri" w:eastAsia="Calibri" w:hAnsi="Calibri"/>
                <w:color w:val="0B5394"/>
                <w:u w:val="single" w:color="0B5394"/>
              </w:rPr>
              <w:t xml:space="preserve"> (10/15/2026) to resolve orthostatic dizziness while keeping blood pressure in target range</w:t>
            </w:r>
            <w:r>
              <w:rPr>
                <w:rFonts w:ascii="Calibri" w:cs="Calibri" w:eastAsia="Calibri" w:hAnsi="Calibri"/>
              </w:rPr>
              <w:t xml:space="preserve">.</w:t>
            </w:r>
            <w:r>
              <w:rPr>
                <w:rFonts w:ascii="Calibri" w:cs="Calibri" w:eastAsia="Calibri" w:hAnsi="Calibri"/>
              </w:rPr>
              <w:t xml:space="preserve"> </w:t>
            </w:r>
            <w:r>
              <w:rPr>
                <w:rFonts w:ascii="Calibri" w:cs="Calibri" w:eastAsia="Calibri" w:hAnsi="Calibri"/>
                <w:b/>
                <w:bCs/>
                <w:color w:val="FFFFFF"/>
                <w:sz w:val="14"/>
                <w:szCs w:val="14"/>
                <w:shd w:fill="1F3864" w:color="auto" w:val="clear"/>
              </w:rPr>
              <w:t xml:space="preserve"> A11 </w:t>
            </w:r>
          </w:p>
          <w:p>
            <w:pPr>
              <w:pStyle w:val="ListParagraph"/>
              <w:numPr>
                <w:ilvl w:val="0"/>
                <w:numId w:val="4"/>
              </w:numPr>
              <w:spacing w:after="70" w:line="288"/>
            </w:pPr>
            <w:r>
              <w:rPr>
                <w:rFonts w:ascii="Calibri" w:cs="Calibri" w:eastAsia="Calibri" w:hAnsi="Calibri"/>
                <w:strike/>
                <w:color w:val="C00000"/>
              </w:rPr>
              <w:t xml:space="preserve">Patient educated on rising slowly from seated/supine positions to prevent orthostatic lightheadedness.</w:t>
            </w:r>
            <w:r>
              <w:rPr>
                <w:rFonts w:ascii="Calibri" w:cs="Calibri" w:eastAsia="Calibri" w:hAnsi="Calibri"/>
              </w:rPr>
              <w:t xml:space="preserve"> </w:t>
            </w:r>
            <w:r>
              <w:rPr>
                <w:rFonts w:ascii="Calibri" w:cs="Calibri" w:eastAsia="Calibri" w:hAnsi="Calibri"/>
                <w:b/>
                <w:bCs/>
                <w:color w:val="FFFFFF"/>
                <w:sz w:val="14"/>
                <w:szCs w:val="14"/>
                <w:shd w:fill="1F3864" w:color="auto" w:val="clear"/>
              </w:rPr>
              <w:t xml:space="preserve"> A12 </w:t>
            </w:r>
          </w:p>
          <w:p>
            <w:pPr>
              <w:pStyle w:val="ListParagraph"/>
              <w:numPr>
                <w:ilvl w:val="0"/>
                <w:numId w:val="4"/>
              </w:numPr>
              <w:spacing w:after="70" w:line="288"/>
            </w:pPr>
            <w:r>
              <w:rPr>
                <w:rFonts w:ascii="Calibri" w:cs="Calibri" w:eastAsia="Calibri" w:hAnsi="Calibri"/>
                <w:color w:val="0B5394"/>
                <w:u w:val="single" w:color="0B5394"/>
              </w:rPr>
              <w:t xml:space="preserve">Patient repeated back the new dose: “decrease Lisinopril back to 10 mg daily.”</w:t>
            </w:r>
            <w:r>
              <w:rPr>
                <w:rFonts w:ascii="Calibri" w:cs="Calibri" w:eastAsia="Calibri" w:hAnsi="Calibri"/>
              </w:rPr>
              <w:t xml:space="preserve"> </w:t>
            </w:r>
            <w:r>
              <w:rPr>
                <w:rFonts w:ascii="Calibri" w:cs="Calibri" w:eastAsia="Calibri" w:hAnsi="Calibri"/>
                <w:b/>
                <w:bCs/>
                <w:color w:val="FFFFFF"/>
                <w:sz w:val="14"/>
                <w:szCs w:val="14"/>
                <w:shd w:fill="1F3864" w:color="auto" w:val="clear"/>
              </w:rPr>
              <w:t xml:space="preserve"> A13 </w:t>
            </w:r>
          </w:p>
          <w:p>
            <w:pPr>
              <w:spacing w:after="90" w:line="288"/>
            </w:pPr>
            <w:r>
              <w:rPr>
                <w:rFonts w:ascii="Calibri" w:cs="Calibri" w:eastAsia="Calibri" w:hAnsi="Calibri"/>
                <w:b/>
                <w:bCs/>
              </w:rPr>
              <w:t xml:space="preserve">2. Type 2 Diabetes Mellitus:</w:t>
            </w:r>
          </w:p>
          <w:p>
            <w:pPr>
              <w:pStyle w:val="ListParagraph"/>
              <w:numPr>
                <w:ilvl w:val="0"/>
                <w:numId w:val="4"/>
              </w:numPr>
              <w:spacing w:after="70" w:line="288"/>
            </w:pPr>
            <w:r>
              <w:rPr>
                <w:rFonts w:ascii="Calibri" w:cs="Calibri" w:eastAsia="Calibri" w:hAnsi="Calibri"/>
              </w:rPr>
              <w:t xml:space="preserve">Continue Metformin ER 1000 mg twice daily.</w:t>
            </w:r>
          </w:p>
          <w:p>
            <w:pPr>
              <w:spacing w:after="90" w:line="288"/>
            </w:pPr>
            <w:r>
              <w:rPr>
                <w:rFonts w:ascii="Calibri" w:cs="Calibri" w:eastAsia="Calibri" w:hAnsi="Calibri"/>
                <w:color w:val="0B5394"/>
                <w:u w:val="single" w:color="0B5394"/>
              </w:rPr>
              <w:t xml:space="preserve">3. Travel (2-week Alaska cruise next month):</w:t>
            </w:r>
          </w:p>
          <w:p>
            <w:pPr>
              <w:pStyle w:val="ListParagraph"/>
              <w:numPr>
                <w:ilvl w:val="0"/>
                <w:numId w:val="4"/>
              </w:numPr>
              <w:spacing w:after="70" w:line="288"/>
            </w:pPr>
            <w:r>
              <w:rPr>
                <w:rFonts w:ascii="Calibri" w:cs="Calibri" w:eastAsia="Calibri" w:hAnsi="Calibri"/>
                <w:color w:val="0B5394"/>
                <w:u w:val="single" w:color="0B5394"/>
              </w:rPr>
              <w:t xml:space="preserve">Advised to pack medications in carry-on bag, bring a few extra days’ supply and keep glucose testing supplies accessible. Clinician advised patient is fine to travel.</w:t>
            </w:r>
            <w:r>
              <w:rPr>
                <w:rFonts w:ascii="Calibri" w:cs="Calibri" w:eastAsia="Calibri" w:hAnsi="Calibri"/>
              </w:rPr>
              <w:t xml:space="preserve"> </w:t>
            </w:r>
            <w:r>
              <w:rPr>
                <w:rFonts w:ascii="Calibri" w:cs="Calibri" w:eastAsia="Calibri" w:hAnsi="Calibri"/>
                <w:b/>
                <w:bCs/>
                <w:color w:val="FFFFFF"/>
                <w:sz w:val="14"/>
                <w:szCs w:val="14"/>
                <w:shd w:fill="1F3864" w:color="auto" w:val="clear"/>
              </w:rPr>
              <w:t xml:space="preserve"> A14 </w:t>
            </w:r>
          </w:p>
          <w:p>
            <w:pPr>
              <w:spacing w:after="90" w:line="288"/>
            </w:pPr>
            <w:r>
              <w:rPr>
                <w:rFonts w:ascii="Calibri" w:cs="Calibri" w:eastAsia="Calibri" w:hAnsi="Calibri"/>
                <w:strike/>
                <w:color w:val="C00000"/>
              </w:rPr>
              <w:t xml:space="preserve">3</w:t>
            </w:r>
            <w:r>
              <w:rPr>
                <w:rFonts w:ascii="Calibri" w:cs="Calibri" w:eastAsia="Calibri" w:hAnsi="Calibri"/>
                <w:color w:val="0B5394"/>
                <w:u w:val="single" w:color="0B5394"/>
              </w:rPr>
              <w:t xml:space="preserve">4</w:t>
            </w:r>
            <w:r>
              <w:rPr>
                <w:rFonts w:ascii="Calibri" w:cs="Calibri" w:eastAsia="Calibri" w:hAnsi="Calibri"/>
                <w:b/>
                <w:bCs/>
              </w:rPr>
              <w:t xml:space="preserve">. Follow-Up and Disposition:</w:t>
            </w:r>
          </w:p>
          <w:p>
            <w:pPr>
              <w:pStyle w:val="ListParagraph"/>
              <w:numPr>
                <w:ilvl w:val="0"/>
                <w:numId w:val="4"/>
              </w:numPr>
              <w:spacing w:after="70" w:line="288"/>
            </w:pPr>
            <w:r>
              <w:rPr>
                <w:rFonts w:ascii="Calibri" w:cs="Calibri" w:eastAsia="Calibri" w:hAnsi="Calibri"/>
              </w:rPr>
              <w:t xml:space="preserve">Patient to return to clinic in </w:t>
            </w:r>
            <w:r>
              <w:rPr>
                <w:rFonts w:ascii="Calibri" w:cs="Calibri" w:eastAsia="Calibri" w:hAnsi="Calibri"/>
                <w:strike/>
                <w:color w:val="C00000"/>
              </w:rPr>
              <w:t xml:space="preserve">6 months for routine chronic care follow-up</w:t>
            </w:r>
            <w:r>
              <w:rPr>
                <w:rFonts w:ascii="Calibri" w:cs="Calibri" w:eastAsia="Calibri" w:hAnsi="Calibri"/>
                <w:color w:val="0B5394"/>
                <w:u w:val="single" w:color="0B5394"/>
              </w:rPr>
              <w:t xml:space="preserve">8 weeks to recheck blood pressure on lisinopril 10 mg daily</w:t>
            </w:r>
            <w:r>
              <w:rPr>
                <w:rFonts w:ascii="Calibri" w:cs="Calibri" w:eastAsia="Calibri" w:hAnsi="Calibri"/>
              </w:rPr>
              <w:t xml:space="preserve"> and </w:t>
            </w:r>
            <w:r>
              <w:rPr>
                <w:rFonts w:ascii="Calibri" w:cs="Calibri" w:eastAsia="Calibri" w:hAnsi="Calibri"/>
                <w:color w:val="0B5394"/>
                <w:u w:val="single" w:color="0B5394"/>
              </w:rPr>
              <w:t xml:space="preserve">review </w:t>
            </w:r>
            <w:r>
              <w:rPr>
                <w:rFonts w:ascii="Calibri" w:cs="Calibri" w:eastAsia="Calibri" w:hAnsi="Calibri"/>
              </w:rPr>
              <w:t xml:space="preserve">basic metabolic panel.</w:t>
            </w:r>
            <w:r>
              <w:rPr>
                <w:rFonts w:ascii="Calibri" w:cs="Calibri" w:eastAsia="Calibri" w:hAnsi="Calibri"/>
              </w:rPr>
              <w:t xml:space="preserve"> </w:t>
            </w:r>
            <w:r>
              <w:rPr>
                <w:rFonts w:ascii="Calibri" w:cs="Calibri" w:eastAsia="Calibri" w:hAnsi="Calibri"/>
                <w:b/>
                <w:bCs/>
                <w:color w:val="FFFFFF"/>
                <w:sz w:val="14"/>
                <w:szCs w:val="14"/>
                <w:shd w:fill="1F3864" w:color="auto" w:val="clear"/>
              </w:rPr>
              <w:t xml:space="preserve"> A15 </w:t>
            </w:r>
          </w:p>
          <w:p>
            <w:pPr>
              <w:pStyle w:val="ListParagraph"/>
              <w:numPr>
                <w:ilvl w:val="0"/>
                <w:numId w:val="4"/>
              </w:numPr>
              <w:spacing w:after="70" w:line="288"/>
            </w:pPr>
            <w:r>
              <w:rPr>
                <w:rFonts w:ascii="Calibri" w:cs="Calibri" w:eastAsia="Calibri" w:hAnsi="Calibri"/>
              </w:rPr>
              <w:t xml:space="preserve">Instructed to call the clinic </w:t>
            </w:r>
            <w:r>
              <w:rPr>
                <w:rFonts w:ascii="Calibri" w:cs="Calibri" w:eastAsia="Calibri" w:hAnsi="Calibri"/>
                <w:color w:val="0B5394"/>
                <w:u w:val="single" w:color="0B5394"/>
              </w:rPr>
              <w:t xml:space="preserve">right away </w:t>
            </w:r>
            <w:r>
              <w:rPr>
                <w:rFonts w:ascii="Calibri" w:cs="Calibri" w:eastAsia="Calibri" w:hAnsi="Calibri"/>
              </w:rPr>
              <w:t xml:space="preserve">if dizziness </w:t>
            </w:r>
            <w:r>
              <w:rPr>
                <w:rFonts w:ascii="Calibri" w:cs="Calibri" w:eastAsia="Calibri" w:hAnsi="Calibri"/>
                <w:strike/>
                <w:color w:val="C00000"/>
              </w:rPr>
              <w:t xml:space="preserve">worsens or fails to resolve</w:t>
            </w:r>
            <w:r>
              <w:rPr>
                <w:rFonts w:ascii="Calibri" w:cs="Calibri" w:eastAsia="Calibri" w:hAnsi="Calibri"/>
                <w:color w:val="0B5394"/>
                <w:u w:val="single" w:color="0B5394"/>
              </w:rPr>
              <w:t xml:space="preserve">does not improve after lowering the lisinopril dose</w:t>
            </w:r>
            <w:r>
              <w:rPr>
                <w:rFonts w:ascii="Calibri" w:cs="Calibri" w:eastAsia="Calibri" w:hAnsi="Calibri"/>
              </w:rPr>
              <w:t xml:space="preserve">.</w:t>
            </w:r>
            <w:r>
              <w:rPr>
                <w:rFonts w:ascii="Calibri" w:cs="Calibri" w:eastAsia="Calibri" w:hAnsi="Calibri"/>
              </w:rPr>
              <w:t xml:space="preserve"> </w:t>
            </w:r>
            <w:r>
              <w:rPr>
                <w:rFonts w:ascii="Calibri" w:cs="Calibri" w:eastAsia="Calibri" w:hAnsi="Calibri"/>
                <w:b/>
                <w:bCs/>
                <w:color w:val="FFFFFF"/>
                <w:sz w:val="14"/>
                <w:szCs w:val="14"/>
                <w:shd w:fill="1F3864" w:color="auto" w:val="clear"/>
              </w:rPr>
              <w:t xml:space="preserve"> A16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350"/>
        <w:gridCol w:w="3610"/>
        <w:gridCol w:w="700"/>
      </w:tblGrid>
      <w:tr>
        <w:trPr>
          <w:tblHeader/>
        </w:trPr>
        <w:tc>
          <w:tcPr>
            <w:tcW w:type="dxa" w:w="70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ID</w:t>
            </w:r>
          </w:p>
        </w:tc>
        <w:tc>
          <w:tcPr>
            <w:tcW w:type="dxa" w:w="300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Correction and reason</w:t>
            </w:r>
          </w:p>
        </w:tc>
        <w:tc>
          <w:tcPr>
            <w:tcW w:type="dxa" w:w="135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Standard</w:t>
            </w:r>
          </w:p>
        </w:tc>
        <w:tc>
          <w:tcPr>
            <w:tcW w:type="dxa" w:w="361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Transcript evidence</w:t>
            </w:r>
          </w:p>
        </w:tc>
        <w:tc>
          <w:tcPr>
            <w:tcW w:type="dxa" w:w="70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Log</w:t>
            </w:r>
          </w:p>
        </w:tc>
      </w:tr>
      <w:tr>
        <w:trPr>
          <w:cantSplit/>
        </w:trPr>
        <w:tc>
          <w:tcPr>
            <w:tcW w:type="dxa" w:w="7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0"/>
            </w:pPr>
            <w:r>
              <w:rPr>
                <w:rFonts w:ascii="Calibri" w:cs="Calibri" w:eastAsia="Calibri" w:hAnsi="Calibri"/>
                <w:b/>
                <w:bCs/>
                <w:color w:val="FFFFFF"/>
                <w:sz w:val="14"/>
                <w:szCs w:val="14"/>
                <w:shd w:fill="1F3864" w:color="auto" w:val="clear"/>
              </w:rPr>
              <w:t xml:space="preserve"> A11 </w:t>
            </w:r>
          </w:p>
        </w:tc>
        <w:tc>
          <w:tcPr>
            <w:tcW w:type="dxa" w:w="30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Corrected the new dose from 5 mg to 10 mg. Added the start date and the clinician’s stated reason. Critical: this is a medication-dose error.</w:t>
            </w:r>
          </w:p>
        </w:tc>
        <w:tc>
          <w:tcPr>
            <w:tcW w:type="dxa" w:w="135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Clinical specificity</w:t>
            </w:r>
          </w:p>
        </w:tc>
        <w:tc>
          <w:tcPr>
            <w:tcW w:type="dxa" w:w="361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i/>
                <w:iCs/>
                <w:color w:val="3A3A3A"/>
                <w:sz w:val="18"/>
                <w:szCs w:val="18"/>
              </w:rPr>
              <w:t xml:space="preserve">“I’d like to step your Lisinopril back down from 20 mg daily to 10 mg daily starting tomorrow morning. That should resolve the orthostatic dizziness while keeping your blood pressure in a good target range.”</w:t>
            </w:r>
          </w:p>
        </w:tc>
        <w:tc>
          <w:tcPr>
            <w:tcW w:type="dxa" w:w="7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E1</w:t>
            </w:r>
          </w:p>
        </w:tc>
      </w:tr>
      <w:tr>
        <w:trPr>
          <w:cantSplit/>
        </w:trPr>
        <w:tc>
          <w:tcPr>
            <w:tcW w:type="dxa" w:w="7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0"/>
            </w:pPr>
            <w:r>
              <w:rPr>
                <w:rFonts w:ascii="Calibri" w:cs="Calibri" w:eastAsia="Calibri" w:hAnsi="Calibri"/>
                <w:b/>
                <w:bCs/>
                <w:color w:val="FFFFFF"/>
                <w:sz w:val="14"/>
                <w:szCs w:val="14"/>
                <w:shd w:fill="1F3864" w:color="auto" w:val="clear"/>
              </w:rPr>
              <w:t xml:space="preserve"> A12 </w:t>
            </w:r>
          </w:p>
        </w:tc>
        <w:tc>
          <w:tcPr>
            <w:tcW w:type="dxa" w:w="30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Deleted counseling that does not appear in the transcript. If Dr. Thorne confirms it was given but not captured, restore it with clinician attestation and reclassify E5 as capture loss.</w:t>
            </w:r>
          </w:p>
        </w:tc>
        <w:tc>
          <w:tcPr>
            <w:tcW w:type="dxa" w:w="135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Clinical encounter relevance</w:t>
            </w:r>
          </w:p>
        </w:tc>
        <w:tc>
          <w:tcPr>
            <w:tcW w:type="dxa" w:w="361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i/>
                <w:iCs/>
                <w:color w:val="3A3A3A"/>
                <w:sz w:val="18"/>
                <w:szCs w:val="18"/>
              </w:rPr>
              <w:t xml:space="preserve">The transcript explains why the dizziness happens but contains no instruction to rise slowly.</w:t>
            </w:r>
          </w:p>
        </w:tc>
        <w:tc>
          <w:tcPr>
            <w:tcW w:type="dxa" w:w="7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E5</w:t>
            </w:r>
          </w:p>
        </w:tc>
      </w:tr>
      <w:tr>
        <w:trPr>
          <w:cantSplit/>
        </w:trPr>
        <w:tc>
          <w:tcPr>
            <w:tcW w:type="dxa" w:w="7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0"/>
            </w:pPr>
            <w:r>
              <w:rPr>
                <w:rFonts w:ascii="Calibri" w:cs="Calibri" w:eastAsia="Calibri" w:hAnsi="Calibri"/>
                <w:b/>
                <w:bCs/>
                <w:color w:val="FFFFFF"/>
                <w:sz w:val="14"/>
                <w:szCs w:val="14"/>
                <w:shd w:fill="1F3864" w:color="auto" w:val="clear"/>
              </w:rPr>
              <w:t xml:space="preserve"> A13 </w:t>
            </w:r>
          </w:p>
        </w:tc>
        <w:tc>
          <w:tcPr>
            <w:tcW w:type="dxa" w:w="30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Added the patient’s read-back of the new dose, which shows the patient understood it.</w:t>
            </w:r>
          </w:p>
        </w:tc>
        <w:tc>
          <w:tcPr>
            <w:tcW w:type="dxa" w:w="135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Completeness</w:t>
            </w:r>
          </w:p>
        </w:tc>
        <w:tc>
          <w:tcPr>
            <w:tcW w:type="dxa" w:w="361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i/>
                <w:iCs/>
                <w:color w:val="3A3A3A"/>
                <w:sz w:val="18"/>
                <w:szCs w:val="18"/>
              </w:rPr>
              <w:t xml:space="preserve">Mrs. Vance: “Okay, decrease Lisinopril back to 10 mg daily. Got it.”</w:t>
            </w:r>
          </w:p>
        </w:tc>
        <w:tc>
          <w:tcPr>
            <w:tcW w:type="dxa" w:w="7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E1</w:t>
            </w:r>
          </w:p>
        </w:tc>
      </w:tr>
      <w:tr>
        <w:trPr>
          <w:cantSplit/>
        </w:trPr>
        <w:tc>
          <w:tcPr>
            <w:tcW w:type="dxa" w:w="7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0"/>
            </w:pPr>
            <w:r>
              <w:rPr>
                <w:rFonts w:ascii="Calibri" w:cs="Calibri" w:eastAsia="Calibri" w:hAnsi="Calibri"/>
                <w:b/>
                <w:bCs/>
                <w:color w:val="FFFFFF"/>
                <w:sz w:val="14"/>
                <w:szCs w:val="14"/>
                <w:shd w:fill="1F3864" w:color="auto" w:val="clear"/>
              </w:rPr>
              <w:t xml:space="preserve"> A14 </w:t>
            </w:r>
          </w:p>
        </w:tc>
        <w:tc>
          <w:tcPr>
            <w:tcW w:type="dxa" w:w="30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Added the travel counseling given in the visit. The note says “fine to travel” rather than “medically cleared” because the transcript reads “Mechanically” (see E9); the chosen wording holds under either reading.</w:t>
            </w:r>
          </w:p>
        </w:tc>
        <w:tc>
          <w:tcPr>
            <w:tcW w:type="dxa" w:w="135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Completeness</w:t>
            </w:r>
          </w:p>
        </w:tc>
        <w:tc>
          <w:tcPr>
            <w:tcW w:type="dxa" w:w="361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i/>
                <w:iCs/>
                <w:color w:val="3A3A3A"/>
                <w:sz w:val="18"/>
                <w:szCs w:val="18"/>
              </w:rPr>
              <w:t xml:space="preserve">“pack your medications in your carry-on bag, bring a few extra days’ supply, and keep your testing supplies handy. Mechanically, you’re fine to travel.”</w:t>
            </w:r>
          </w:p>
        </w:tc>
        <w:tc>
          <w:tcPr>
            <w:tcW w:type="dxa" w:w="7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E7, E9</w:t>
            </w:r>
          </w:p>
        </w:tc>
      </w:tr>
      <w:tr>
        <w:trPr>
          <w:cantSplit/>
        </w:trPr>
        <w:tc>
          <w:tcPr>
            <w:tcW w:type="dxa" w:w="7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0"/>
            </w:pPr>
            <w:r>
              <w:rPr>
                <w:rFonts w:ascii="Calibri" w:cs="Calibri" w:eastAsia="Calibri" w:hAnsi="Calibri"/>
                <w:b/>
                <w:bCs/>
                <w:color w:val="FFFFFF"/>
                <w:sz w:val="14"/>
                <w:szCs w:val="14"/>
                <w:shd w:fill="1F3864" w:color="auto" w:val="clear"/>
              </w:rPr>
              <w:t xml:space="preserve"> A15 </w:t>
            </w:r>
          </w:p>
        </w:tc>
        <w:tc>
          <w:tcPr>
            <w:tcW w:type="dxa" w:w="30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Corrected the interval from 6 months to 8 weeks and restored its purpose. “Six” came from the patient’s question, not the clinician’s answer. Critical: wrong interval delays monitoring of the dose change.</w:t>
            </w:r>
          </w:p>
        </w:tc>
        <w:tc>
          <w:tcPr>
            <w:tcW w:type="dxa" w:w="135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Clinical specificity</w:t>
            </w:r>
          </w:p>
        </w:tc>
        <w:tc>
          <w:tcPr>
            <w:tcW w:type="dxa" w:w="361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i/>
                <w:iCs/>
                <w:color w:val="3A3A3A"/>
                <w:sz w:val="18"/>
                <w:szCs w:val="18"/>
              </w:rPr>
              <w:t xml:space="preserve">Mrs. Vance: “three months or six?” Dr. Thorne: “Let’s schedule a follow-up in 8 weeks to recheck your blood pressure on the 10 mg dose of Lisinopril and review a basic metabolic panel.”</w:t>
            </w:r>
          </w:p>
        </w:tc>
        <w:tc>
          <w:tcPr>
            <w:tcW w:type="dxa" w:w="7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E3</w:t>
            </w:r>
          </w:p>
        </w:tc>
      </w:tr>
      <w:tr>
        <w:trPr>
          <w:cantSplit/>
        </w:trPr>
        <w:tc>
          <w:tcPr>
            <w:tcW w:type="dxa" w:w="7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0"/>
            </w:pPr>
            <w:r>
              <w:rPr>
                <w:rFonts w:ascii="Calibri" w:cs="Calibri" w:eastAsia="Calibri" w:hAnsi="Calibri"/>
                <w:b/>
                <w:bCs/>
                <w:color w:val="FFFFFF"/>
                <w:sz w:val="14"/>
                <w:szCs w:val="14"/>
                <w:shd w:fill="1F3864" w:color="auto" w:val="clear"/>
              </w:rPr>
              <w:t xml:space="preserve"> A16 </w:t>
            </w:r>
          </w:p>
        </w:tc>
        <w:tc>
          <w:tcPr>
            <w:tcW w:type="dxa" w:w="30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Restored “right away” and the clinician’s trigger (no improvement after the dose reduction).</w:t>
            </w:r>
          </w:p>
        </w:tc>
        <w:tc>
          <w:tcPr>
            <w:tcW w:type="dxa" w:w="135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Clinical specificity</w:t>
            </w:r>
          </w:p>
        </w:tc>
        <w:tc>
          <w:tcPr>
            <w:tcW w:type="dxa" w:w="361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i/>
                <w:iCs/>
                <w:color w:val="3A3A3A"/>
                <w:sz w:val="18"/>
                <w:szCs w:val="18"/>
              </w:rPr>
              <w:t xml:space="preserve">“If the dizziness doesn’t improve after lowering the Lisinopril, call the clinic right away.”</w:t>
            </w:r>
          </w:p>
        </w:tc>
        <w:tc>
          <w:tcPr>
            <w:tcW w:type="dxa" w:w="7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E4</w:t>
            </w:r>
          </w:p>
        </w:tc>
      </w:tr>
    </w:tbl>
    <w:p>
      <w:pPr>
        <w:spacing w:after="160"/>
      </w:pPr>
    </w:p>
    <w:p>
      <w:pPr>
        <w:pStyle w:val="Heading2"/>
      </w:pPr>
      <w:r>
        <w:rPr>
          <w:rFonts w:ascii="Calibri" w:cs="Calibri" w:eastAsia="Calibri" w:hAnsi="Calibri"/>
        </w:rPr>
        <w:t xml:space="preserve">Verified without correction</w:t>
      </w:r>
    </w:p>
    <w:p>
      <w:pPr>
        <w:spacing w:after="100" w:line="276"/>
      </w:pPr>
      <w:r>
        <w:rPr>
          <w:rFonts w:ascii="Calibri" w:cs="Calibri" w:eastAsia="Calibri" w:hAnsi="Calibri"/>
        </w:rPr>
        <w:t xml:space="preserve">The following draft content matches the transcript: patient identifiers and age (68 on 10/14/2026); office BP 118/74 mmHg; HbA1c 6.8% down from 7.4%; fasting glucose log average 115 mg/dL; metformin ER 1000 mg twice daily continued unchanged; current lisinopril dose of 20 mg and the “tomorrow morning” start; the 2-week Alaska cruise next month; and the basic metabolic panel at follow-up.</w:t>
      </w:r>
    </w:p>
    <w:p>
      <w:pPr>
        <w:spacing w:after="100" w:line="276"/>
      </w:pPr>
      <w:r>
        <w:rPr>
          <w:rFonts w:ascii="Calibri" w:cs="Calibri" w:eastAsia="Calibri" w:hAnsi="Calibri"/>
          <w:b/>
          <w:bCs/>
        </w:rPr>
        <w:t xml:space="preserve">Standards applied: </w:t>
      </w:r>
      <w:r>
        <w:rPr>
          <w:rFonts w:ascii="Calibri" w:cs="Calibri" w:eastAsia="Calibri" w:hAnsi="Calibri"/>
        </w:rPr>
        <w:t xml:space="preserve">Clinical specificity (9 corrections), completeness (4) and clinical encounter relevance (3).</w:t>
      </w:r>
    </w:p>
    <w:p>
      <w:pPr>
        <w:pStyle w:val="Heading1"/>
        <w:pageBreakBefore/>
      </w:pPr>
      <w:r>
        <w:rPr>
          <w:rFonts w:ascii="Calibri" w:cs="Calibri" w:eastAsia="Calibri" w:hAnsi="Calibri"/>
        </w:rPr>
        <w:t xml:space="preserve">Section 2 — Discrepancy Log</w:t>
      </w:r>
    </w:p>
    <w:p>
      <w:pPr>
        <w:spacing w:after="100" w:line="276"/>
      </w:pPr>
      <w:r>
        <w:rPr>
          <w:rFonts w:ascii="Calibri" w:cs="Calibri" w:eastAsia="Calibri" w:hAnsi="Calibri"/>
        </w:rPr>
        <w:t xml:space="preserve">Ten discrepancies were found across the source transcript, the Dragon Copilot draft and the EMR chart. Each is assigned to the point in the documentation chain where it entered:</w:t>
      </w:r>
    </w:p>
    <w:p>
      <w:pPr>
        <w:pStyle w:val="ListParagraph"/>
        <w:numPr>
          <w:ilvl w:val="0"/>
          <w:numId w:val="3"/>
        </w:numPr>
        <w:spacing w:after="60" w:line="264"/>
      </w:pPr>
      <w:r>
        <w:rPr>
          <w:rFonts w:ascii="Calibri" w:cs="Calibri" w:eastAsia="Calibri" w:hAnsi="Calibri"/>
          <w:b/>
          <w:bCs/>
        </w:rPr>
        <w:t xml:space="preserve">Capture loss: </w:t>
      </w:r>
      <w:r>
        <w:rPr>
          <w:rFonts w:ascii="Calibri" w:cs="Calibri" w:eastAsia="Calibri" w:hAnsi="Calibri"/>
        </w:rPr>
        <w:t xml:space="preserve">the transcript did not capture what was said.</w:t>
      </w:r>
    </w:p>
    <w:p>
      <w:pPr>
        <w:pStyle w:val="ListParagraph"/>
        <w:numPr>
          <w:ilvl w:val="0"/>
          <w:numId w:val="3"/>
        </w:numPr>
        <w:spacing w:after="60" w:line="264"/>
      </w:pPr>
      <w:r>
        <w:rPr>
          <w:rFonts w:ascii="Calibri" w:cs="Calibri" w:eastAsia="Calibri" w:hAnsi="Calibri"/>
          <w:b/>
          <w:bCs/>
        </w:rPr>
        <w:t xml:space="preserve">Draft error: </w:t>
      </w:r>
      <w:r>
        <w:rPr>
          <w:rFonts w:ascii="Calibri" w:cs="Calibri" w:eastAsia="Calibri" w:hAnsi="Calibri"/>
        </w:rPr>
        <w:t xml:space="preserve">Dragon Copilot misrepresented, omitted or added to what the transcript records.</w:t>
      </w:r>
    </w:p>
    <w:p>
      <w:pPr>
        <w:pStyle w:val="ListParagraph"/>
        <w:numPr>
          <w:ilvl w:val="0"/>
          <w:numId w:val="3"/>
        </w:numPr>
        <w:spacing w:after="60" w:line="264"/>
      </w:pPr>
      <w:r>
        <w:rPr>
          <w:rFonts w:ascii="Calibri" w:cs="Calibri" w:eastAsia="Calibri" w:hAnsi="Calibri"/>
          <w:b/>
          <w:bCs/>
        </w:rPr>
        <w:t xml:space="preserve">Edit error: </w:t>
      </w:r>
      <w:r>
        <w:rPr>
          <w:rFonts w:ascii="Calibri" w:cs="Calibri" w:eastAsia="Calibri" w:hAnsi="Calibri"/>
        </w:rPr>
        <w:t xml:space="preserve">manual editing or transfer after the draft introduced a new problem.</w:t>
      </w:r>
    </w:p>
    <w:p>
      <w:pPr>
        <w:spacing w:after="100" w:before="100" w:line="276"/>
      </w:pPr>
      <w:r>
        <w:rPr>
          <w:rFonts w:ascii="Calibri" w:cs="Calibri" w:eastAsia="Calibri" w:hAnsi="Calibri"/>
          <w:b/>
          <w:bCs/>
        </w:rPr>
        <w:t xml:space="preserve">Severity scale. </w:t>
      </w:r>
      <w:r>
        <w:rPr>
          <w:rFonts w:ascii="Calibri" w:cs="Calibri" w:eastAsia="Calibri" w:hAnsi="Calibri"/>
          <w:b/>
          <w:bCs/>
        </w:rPr>
        <w:t xml:space="preserve">High</w:t>
      </w:r>
      <w:r>
        <w:rPr>
          <w:rFonts w:ascii="Calibri" w:cs="Calibri" w:eastAsia="Calibri" w:hAnsi="Calibri"/>
        </w:rPr>
        <w:t xml:space="preserve">: could directly cause a wrong medication, order or appointment. </w:t>
      </w:r>
      <w:r>
        <w:rPr>
          <w:rFonts w:ascii="Calibri" w:cs="Calibri" w:eastAsia="Calibri" w:hAnsi="Calibri"/>
          <w:b/>
          <w:bCs/>
        </w:rPr>
        <w:t xml:space="preserve">Moderate</w:t>
      </w:r>
      <w:r>
        <w:rPr>
          <w:rFonts w:ascii="Calibri" w:cs="Calibri" w:eastAsia="Calibri" w:hAnsi="Calibri"/>
        </w:rPr>
        <w:t xml:space="preserve">: misrepresents the encounter or creates a coding or compliance risk. </w:t>
      </w:r>
      <w:r>
        <w:rPr>
          <w:rFonts w:ascii="Calibri" w:cs="Calibri" w:eastAsia="Calibri" w:hAnsi="Calibri"/>
          <w:b/>
          <w:bCs/>
        </w:rPr>
        <w:t xml:space="preserve">Low</w:t>
      </w:r>
      <w:r>
        <w:rPr>
          <w:rFonts w:ascii="Calibri" w:cs="Calibri" w:eastAsia="Calibri" w:hAnsi="Calibri"/>
        </w:rPr>
        <w:t xml:space="preserve">: a gap in source quality with no direct care impact once handled.</w:t>
      </w:r>
    </w:p>
    <w:p>
      <w:pPr>
        <w:pStyle w:val="Heading2"/>
      </w:pPr>
      <w:r>
        <w:rPr>
          <w:rFonts w:ascii="Calibri" w:cs="Calibri" w:eastAsia="Calibri" w:hAnsi="Calibri"/>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300"/>
        <w:gridCol w:w="4740"/>
        <w:gridCol w:w="1200"/>
        <w:gridCol w:w="1600"/>
      </w:tblGrid>
      <w:tr>
        <w:trPr>
          <w:tblHeader/>
        </w:trPr>
        <w:tc>
          <w:tcPr>
            <w:tcW w:type="dxa" w:w="52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w:t>
            </w:r>
          </w:p>
        </w:tc>
        <w:tc>
          <w:tcPr>
            <w:tcW w:type="dxa" w:w="130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Error type</w:t>
            </w:r>
          </w:p>
        </w:tc>
        <w:tc>
          <w:tcPr>
            <w:tcW w:type="dxa" w:w="474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Specific content</w:t>
            </w:r>
          </w:p>
        </w:tc>
        <w:tc>
          <w:tcPr>
            <w:tcW w:type="dxa" w:w="120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Severity</w:t>
            </w:r>
          </w:p>
        </w:tc>
        <w:tc>
          <w:tcPr>
            <w:tcW w:type="dxa" w:w="1600"/>
            <w:tcBorders>
              <w:top w:val="single" w:color="C9CED6" w:sz="4"/>
              <w:left w:val="single" w:color="C9CED6" w:sz="4"/>
              <w:bottom w:val="single" w:color="C9CED6" w:sz="4"/>
              <w:right w:val="single" w:color="C9CED6" w:sz="4"/>
            </w:tcBorders>
            <w:shd w:fill="1F3864" w:color="auto" w:val="clear"/>
            <w:tcMar>
              <w:top w:type="dxa" w:w="80"/>
              <w:left w:type="dxa" w:w="110"/>
              <w:bottom w:type="dxa" w:w="80"/>
              <w:right w:type="dxa" w:w="110"/>
            </w:tcMar>
            <w:vAlign w:val="top"/>
          </w:tcPr>
          <w:p>
            <w:pPr>
              <w:spacing w:after="40" w:line="252"/>
            </w:pPr>
            <w:r>
              <w:rPr>
                <w:rFonts w:ascii="Calibri" w:cs="Calibri" w:eastAsia="Calibri" w:hAnsi="Calibri"/>
                <w:b/>
                <w:bCs/>
                <w:color w:val="FFFFFF"/>
                <w:sz w:val="18"/>
                <w:szCs w:val="18"/>
              </w:rPr>
              <w:t xml:space="preserve">Section 1 ref.</w:t>
            </w:r>
          </w:p>
        </w:tc>
      </w:tr>
      <w:tr>
        <w:trPr>
          <w:cantSplit/>
        </w:trPr>
        <w:tc>
          <w:tcPr>
            <w:tcW w:type="dxa" w:w="52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1</w:t>
            </w:r>
          </w:p>
        </w:tc>
        <w:tc>
          <w:tcPr>
            <w:tcW w:type="dxa" w:w="13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Draft error</w:t>
            </w:r>
          </w:p>
        </w:tc>
        <w:tc>
          <w:tcPr>
            <w:tcW w:type="dxa" w:w="474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Lisinopril new dose: 5 mg drafted; 10 mg ordered</w:t>
            </w:r>
          </w:p>
        </w:tc>
        <w:tc>
          <w:tcPr>
            <w:tcW w:type="dxa" w:w="12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color w:val="C00000"/>
                <w:sz w:val="18"/>
                <w:szCs w:val="18"/>
              </w:rPr>
              <w:t xml:space="preserve">High</w:t>
            </w:r>
          </w:p>
        </w:tc>
        <w:tc>
          <w:tcPr>
            <w:tcW w:type="dxa" w:w="16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A11, A13</w:t>
            </w:r>
          </w:p>
        </w:tc>
      </w:tr>
      <w:tr>
        <w:trPr>
          <w:cantSplit/>
        </w:trPr>
        <w:tc>
          <w:tcPr>
            <w:tcW w:type="dxa" w:w="52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2</w:t>
            </w:r>
          </w:p>
        </w:tc>
        <w:tc>
          <w:tcPr>
            <w:tcW w:type="dxa" w:w="13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Edit error</w:t>
            </w:r>
          </w:p>
        </w:tc>
        <w:tc>
          <w:tcPr>
            <w:tcW w:type="dxa" w:w="474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Medication Change/Orders field blank; 20 mg still active in EMR</w:t>
            </w:r>
          </w:p>
        </w:tc>
        <w:tc>
          <w:tcPr>
            <w:tcW w:type="dxa" w:w="12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b/>
                <w:bCs/>
                <w:color w:val="C00000"/>
                <w:sz w:val="18"/>
                <w:szCs w:val="18"/>
              </w:rPr>
              <w:t xml:space="preserve">High</w:t>
            </w:r>
          </w:p>
        </w:tc>
        <w:tc>
          <w:tcPr>
            <w:tcW w:type="dxa" w:w="16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Section 4</w:t>
            </w:r>
          </w:p>
        </w:tc>
      </w:tr>
      <w:tr>
        <w:trPr>
          <w:cantSplit/>
        </w:trPr>
        <w:tc>
          <w:tcPr>
            <w:tcW w:type="dxa" w:w="52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3</w:t>
            </w:r>
          </w:p>
        </w:tc>
        <w:tc>
          <w:tcPr>
            <w:tcW w:type="dxa" w:w="13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Draft error</w:t>
            </w:r>
          </w:p>
        </w:tc>
        <w:tc>
          <w:tcPr>
            <w:tcW w:type="dxa" w:w="474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Follow-up: 6 months drafted; 8 weeks ordered</w:t>
            </w:r>
          </w:p>
        </w:tc>
        <w:tc>
          <w:tcPr>
            <w:tcW w:type="dxa" w:w="12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color w:val="C00000"/>
                <w:sz w:val="18"/>
                <w:szCs w:val="18"/>
              </w:rPr>
              <w:t xml:space="preserve">High</w:t>
            </w:r>
          </w:p>
        </w:tc>
        <w:tc>
          <w:tcPr>
            <w:tcW w:type="dxa" w:w="16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A15</w:t>
            </w:r>
          </w:p>
        </w:tc>
      </w:tr>
      <w:tr>
        <w:trPr>
          <w:cantSplit/>
        </w:trPr>
        <w:tc>
          <w:tcPr>
            <w:tcW w:type="dxa" w:w="52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4</w:t>
            </w:r>
          </w:p>
        </w:tc>
        <w:tc>
          <w:tcPr>
            <w:tcW w:type="dxa" w:w="13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Draft error</w:t>
            </w:r>
          </w:p>
        </w:tc>
        <w:tc>
          <w:tcPr>
            <w:tcW w:type="dxa" w:w="474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Callback instruction lost “right away”</w:t>
            </w:r>
          </w:p>
        </w:tc>
        <w:tc>
          <w:tcPr>
            <w:tcW w:type="dxa" w:w="12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b/>
                <w:bCs/>
                <w:color w:val="B7791F"/>
                <w:sz w:val="18"/>
                <w:szCs w:val="18"/>
              </w:rPr>
              <w:t xml:space="preserve">Moderate</w:t>
            </w:r>
          </w:p>
        </w:tc>
        <w:tc>
          <w:tcPr>
            <w:tcW w:type="dxa" w:w="16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A16</w:t>
            </w:r>
          </w:p>
        </w:tc>
      </w:tr>
      <w:tr>
        <w:trPr>
          <w:cantSplit/>
        </w:trPr>
        <w:tc>
          <w:tcPr>
            <w:tcW w:type="dxa" w:w="52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5</w:t>
            </w:r>
          </w:p>
        </w:tc>
        <w:tc>
          <w:tcPr>
            <w:tcW w:type="dxa" w:w="13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Draft error</w:t>
            </w:r>
          </w:p>
        </w:tc>
        <w:tc>
          <w:tcPr>
            <w:tcW w:type="dxa" w:w="474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Patient education not supported by the transcript</w:t>
            </w:r>
          </w:p>
        </w:tc>
        <w:tc>
          <w:tcPr>
            <w:tcW w:type="dxa" w:w="12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color w:val="B7791F"/>
                <w:sz w:val="18"/>
                <w:szCs w:val="18"/>
              </w:rPr>
              <w:t xml:space="preserve">Moderate</w:t>
            </w:r>
          </w:p>
        </w:tc>
        <w:tc>
          <w:tcPr>
            <w:tcW w:type="dxa" w:w="16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A12</w:t>
            </w:r>
          </w:p>
        </w:tc>
      </w:tr>
      <w:tr>
        <w:trPr>
          <w:cantSplit/>
        </w:trPr>
        <w:tc>
          <w:tcPr>
            <w:tcW w:type="dxa" w:w="52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6</w:t>
            </w:r>
          </w:p>
        </w:tc>
        <w:tc>
          <w:tcPr>
            <w:tcW w:type="dxa" w:w="13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Draft error</w:t>
            </w:r>
          </w:p>
        </w:tc>
        <w:tc>
          <w:tcPr>
            <w:tcW w:type="dxa" w:w="474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Dose-increase context, symptom detail and BP trend missing</w:t>
            </w:r>
          </w:p>
        </w:tc>
        <w:tc>
          <w:tcPr>
            <w:tcW w:type="dxa" w:w="12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b/>
                <w:bCs/>
                <w:color w:val="B7791F"/>
                <w:sz w:val="18"/>
                <w:szCs w:val="18"/>
              </w:rPr>
              <w:t xml:space="preserve">Moderate</w:t>
            </w:r>
          </w:p>
        </w:tc>
        <w:tc>
          <w:tcPr>
            <w:tcW w:type="dxa" w:w="16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A1–A3, A6, A8</w:t>
            </w:r>
          </w:p>
        </w:tc>
      </w:tr>
      <w:tr>
        <w:trPr>
          <w:cantSplit/>
        </w:trPr>
        <w:tc>
          <w:tcPr>
            <w:tcW w:type="dxa" w:w="52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7</w:t>
            </w:r>
          </w:p>
        </w:tc>
        <w:tc>
          <w:tcPr>
            <w:tcW w:type="dxa" w:w="13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Draft error</w:t>
            </w:r>
          </w:p>
        </w:tc>
        <w:tc>
          <w:tcPr>
            <w:tcW w:type="dxa" w:w="474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“Travel clearance” overstated; travel counseling omitted</w:t>
            </w:r>
          </w:p>
        </w:tc>
        <w:tc>
          <w:tcPr>
            <w:tcW w:type="dxa" w:w="12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color w:val="B7791F"/>
                <w:sz w:val="18"/>
                <w:szCs w:val="18"/>
              </w:rPr>
              <w:t xml:space="preserve">Moderate</w:t>
            </w:r>
          </w:p>
        </w:tc>
        <w:tc>
          <w:tcPr>
            <w:tcW w:type="dxa" w:w="16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A5, A14</w:t>
            </w:r>
          </w:p>
        </w:tc>
      </w:tr>
      <w:tr>
        <w:trPr>
          <w:cantSplit/>
        </w:trPr>
        <w:tc>
          <w:tcPr>
            <w:tcW w:type="dxa" w:w="52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8</w:t>
            </w:r>
          </w:p>
        </w:tc>
        <w:tc>
          <w:tcPr>
            <w:tcW w:type="dxa" w:w="13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Draft error</w:t>
            </w:r>
          </w:p>
        </w:tc>
        <w:tc>
          <w:tcPr>
            <w:tcW w:type="dxa" w:w="474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“Without complications” unsupported; regimen not named</w:t>
            </w:r>
          </w:p>
        </w:tc>
        <w:tc>
          <w:tcPr>
            <w:tcW w:type="dxa" w:w="12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b/>
                <w:bCs/>
                <w:color w:val="B7791F"/>
                <w:sz w:val="18"/>
                <w:szCs w:val="18"/>
              </w:rPr>
              <w:t xml:space="preserve">Moderate</w:t>
            </w:r>
          </w:p>
        </w:tc>
        <w:tc>
          <w:tcPr>
            <w:tcW w:type="dxa" w:w="16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A9, A10</w:t>
            </w:r>
          </w:p>
        </w:tc>
      </w:tr>
      <w:tr>
        <w:trPr>
          <w:cantSplit/>
        </w:trPr>
        <w:tc>
          <w:tcPr>
            <w:tcW w:type="dxa" w:w="52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9</w:t>
            </w:r>
          </w:p>
        </w:tc>
        <w:tc>
          <w:tcPr>
            <w:tcW w:type="dxa" w:w="13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Capture loss</w:t>
            </w:r>
          </w:p>
        </w:tc>
        <w:tc>
          <w:tcPr>
            <w:tcW w:type="dxa" w:w="474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“Mechanically”: probable mis-transcription of “Medically”</w:t>
            </w:r>
          </w:p>
        </w:tc>
        <w:tc>
          <w:tcPr>
            <w:tcW w:type="dxa" w:w="12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b/>
                <w:bCs/>
                <w:color w:val="7F7F7F"/>
                <w:sz w:val="18"/>
                <w:szCs w:val="18"/>
              </w:rPr>
              <w:t xml:space="preserve">Low</w:t>
            </w:r>
          </w:p>
        </w:tc>
        <w:tc>
          <w:tcPr>
            <w:tcW w:type="dxa" w:w="1600"/>
            <w:tcBorders>
              <w:top w:val="single" w:color="C9CED6" w:sz="4"/>
              <w:left w:val="single" w:color="C9CED6" w:sz="4"/>
              <w:bottom w:val="single" w:color="C9CED6" w:sz="4"/>
              <w:right w:val="single" w:color="C9CED6" w:sz="4"/>
            </w:tcBorders>
            <w:shd w:fill="F5F7FA"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A14</w:t>
            </w:r>
          </w:p>
        </w:tc>
      </w:tr>
      <w:tr>
        <w:trPr>
          <w:cantSplit/>
        </w:trPr>
        <w:tc>
          <w:tcPr>
            <w:tcW w:type="dxa" w:w="52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b/>
                <w:bCs/>
                <w:sz w:val="18"/>
                <w:szCs w:val="18"/>
              </w:rPr>
              <w:t xml:space="preserve">10</w:t>
            </w:r>
          </w:p>
        </w:tc>
        <w:tc>
          <w:tcPr>
            <w:tcW w:type="dxa" w:w="13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Capture loss</w:t>
            </w:r>
          </w:p>
        </w:tc>
        <w:tc>
          <w:tcPr>
            <w:tcW w:type="dxa" w:w="474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Vitals, log details and dates reviewed but not spoken</w:t>
            </w:r>
          </w:p>
        </w:tc>
        <w:tc>
          <w:tcPr>
            <w:tcW w:type="dxa" w:w="12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b/>
                <w:bCs/>
                <w:color w:val="7F7F7F"/>
                <w:sz w:val="18"/>
                <w:szCs w:val="18"/>
              </w:rPr>
              <w:t xml:space="preserve">Low</w:t>
            </w:r>
          </w:p>
        </w:tc>
        <w:tc>
          <w:tcPr>
            <w:tcW w:type="dxa" w:w="1600"/>
            <w:tcBorders>
              <w:top w:val="single" w:color="C9CED6" w:sz="4"/>
              <w:left w:val="single" w:color="C9CED6" w:sz="4"/>
              <w:bottom w:val="single" w:color="C9CED6" w:sz="4"/>
              <w:right w:val="single" w:color="C9CED6" w:sz="4"/>
            </w:tcBorders>
            <w:shd w:fill="FFFFFF" w:color="auto" w:val="clear"/>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A7</w:t>
            </w:r>
          </w:p>
        </w:tc>
      </w:tr>
    </w:tbl>
    <w:p>
      <w:pPr>
        <w:spacing w:after="80"/>
      </w:pPr>
    </w:p>
    <w:p>
      <w:pPr>
        <w:spacing w:after="100" w:line="276"/>
      </w:pPr>
      <w:r>
        <w:rPr>
          <w:rFonts w:ascii="Calibri" w:cs="Calibri" w:eastAsia="Calibri" w:hAnsi="Calibri"/>
          <w:b/>
          <w:bCs/>
        </w:rPr>
        <w:t xml:space="preserve">Pattern: </w:t>
      </w:r>
      <w:r>
        <w:rPr>
          <w:rFonts w:ascii="Calibri" w:cs="Calibri" w:eastAsia="Calibri" w:hAnsi="Calibri"/>
        </w:rPr>
        <w:t xml:space="preserve">both high-severity draft errors are numbers. The 5 mg dose appears nowhere in the transcript, and the 6-month interval came from the patient’s question rather than the clinician’s answer. Numeric values in AI drafts should be verified line by line against the source.</w:t>
      </w:r>
    </w:p>
    <w:p>
      <w:pPr>
        <w:pStyle w:val="Heading2"/>
      </w:pPr>
      <w:r>
        <w:rPr>
          <w:rFonts w:ascii="Calibri" w:cs="Calibri" w:eastAsia="Calibri" w:hAnsi="Calibri"/>
        </w:rPr>
        <w:t xml:space="preserve">Entries</w:t>
      </w:r>
    </w:p>
    <w:p>
      <w:pPr>
        <w:keepNext/>
        <w:keepLines/>
        <w:pBdr>
          <w:left w:val="single" w:color="C00000" w:sz="24" w:space="10"/>
        </w:pBdr>
        <w:spacing w:after="80" w:before="120"/>
        <w:ind w:left="200"/>
      </w:pPr>
      <w:r>
        <w:rPr>
          <w:rFonts w:ascii="Calibri" w:cs="Calibri" w:eastAsia="Calibri" w:hAnsi="Calibri"/>
          <w:b/>
          <w:bCs/>
          <w:color w:val="1F3864"/>
          <w:sz w:val="23"/>
          <w:szCs w:val="23"/>
        </w:rPr>
        <w:t xml:space="preserve">Entry 1</w:t>
      </w:r>
      <w:r>
        <w:rPr>
          <w:rFonts w:ascii="Calibri" w:cs="Calibri" w:eastAsia="Calibri" w:hAnsi="Calibri"/>
          <w:b/>
          <w:bCs/>
          <w:sz w:val="23"/>
          <w:szCs w:val="23"/>
        </w:rPr>
        <w:t xml:space="preserve">  ·  Lisinopril new dose</w:t>
      </w:r>
      <w:r>
        <w:rPr>
          <w:rFonts w:ascii="Calibri" w:cs="Calibri" w:eastAsia="Calibri" w:hAnsi="Calibri"/>
          <w:b/>
          <w:bCs/>
          <w:color w:val="C00000"/>
          <w:sz w:val="16"/>
          <w:szCs w:val="16"/>
        </w:rPr>
        <w:t xml:space="preserve">   HIGH SEVERITY</w:t>
      </w:r>
    </w:p>
    <w:p>
      <w:pPr>
        <w:keepNext/>
        <w:pBdr>
          <w:left w:val="single" w:color="C00000" w:sz="24" w:space="10"/>
        </w:pBdr>
        <w:spacing w:after="70" w:line="270"/>
        <w:ind w:left="200"/>
      </w:pPr>
      <w:r>
        <w:rPr>
          <w:rFonts w:ascii="Calibri" w:cs="Calibri" w:eastAsia="Calibri" w:hAnsi="Calibri"/>
          <w:b/>
          <w:bCs/>
        </w:rPr>
        <w:t xml:space="preserve">Chain Location (Error Type): </w:t>
      </w:r>
      <w:r>
        <w:rPr>
          <w:rFonts w:ascii="Calibri" w:cs="Calibri" w:eastAsia="Calibri" w:hAnsi="Calibri"/>
          <w:b/>
          <w:bCs/>
          <w:color w:val="C00000"/>
        </w:rPr>
        <w:t xml:space="preserve">Draft error</w:t>
      </w:r>
    </w:p>
    <w:p>
      <w:pPr>
        <w:keepNext/>
        <w:pBdr>
          <w:left w:val="single" w:color="C00000" w:sz="24" w:space="10"/>
        </w:pBdr>
        <w:spacing w:after="70" w:line="270"/>
        <w:ind w:left="200"/>
      </w:pPr>
      <w:r>
        <w:rPr>
          <w:rFonts w:ascii="Calibri" w:cs="Calibri" w:eastAsia="Calibri" w:hAnsi="Calibri"/>
          <w:b/>
          <w:bCs/>
        </w:rPr>
        <w:t xml:space="preserve">Specific Content Affected: </w:t>
      </w:r>
      <w:r>
        <w:rPr>
          <w:rFonts w:ascii="Calibri" w:cs="Calibri" w:eastAsia="Calibri" w:hAnsi="Calibri"/>
        </w:rPr>
        <w:t xml:space="preserve">New lisinopril dose. Draft Plan 1: “Decrease Lisinopril from 20 mg daily to 5 mg daily.” Transcript, Dr. Thorne: “step your Lisinopril back down from 20 mg daily to 10 mg daily starting tomorrow morning”; patient read-back: “decrease Lisinopril back to 10 mg daily.” The value “5 mg” appears nowhere in the transcript.</w:t>
      </w:r>
    </w:p>
    <w:p>
      <w:pPr>
        <w:pBdr>
          <w:left w:val="single" w:color="C00000" w:sz="24" w:space="10"/>
        </w:pBdr>
        <w:spacing w:after="70" w:line="270"/>
        <w:ind w:left="200"/>
      </w:pPr>
      <w:r>
        <w:rPr>
          <w:rFonts w:ascii="Calibri" w:cs="Calibri" w:eastAsia="Calibri" w:hAnsi="Calibri"/>
          <w:b/>
          <w:bCs/>
        </w:rPr>
        <w:t xml:space="preserve">Clinical or Record Impact: </w:t>
      </w:r>
      <w:r>
        <w:rPr>
          <w:rFonts w:ascii="Calibri" w:cs="Calibri" w:eastAsia="Calibri" w:hAnsi="Calibri"/>
        </w:rPr>
        <w:t xml:space="preserve">The signed record would show a 75% dose cut instead of the 50% cut ordered. A prescription or refill built from the note would under-treat hypertension that measured 142/88 mmHg before the last increase, and the record would contradict the dose the patient agreed to take. The error has already been pasted into the EMR Clinical Notes field (Finding 3.1).</w:t>
      </w:r>
    </w:p>
    <w:p>
      <w:pPr>
        <w:pBdr>
          <w:left w:val="single" w:color="C00000" w:sz="24" w:space="10"/>
        </w:pBdr>
        <w:spacing w:after="70" w:line="270"/>
        <w:ind w:left="200"/>
      </w:pPr>
      <w:r>
        <w:rPr>
          <w:rFonts w:ascii="Calibri" w:cs="Calibri" w:eastAsia="Calibri" w:hAnsi="Calibri"/>
          <w:b/>
          <w:bCs/>
        </w:rPr>
        <w:t xml:space="preserve">Cross-reference: </w:t>
      </w:r>
      <w:r>
        <w:rPr>
          <w:rFonts w:ascii="Calibri" w:cs="Calibri" w:eastAsia="Calibri" w:hAnsi="Calibri"/>
          <w:color w:val="595959"/>
        </w:rPr>
        <w:t xml:space="preserve">A11, A13</w:t>
      </w:r>
    </w:p>
    <w:p>
      <w:pPr>
        <w:spacing w:after="0" w:line="120"/>
      </w:pPr>
    </w:p>
    <w:p>
      <w:pPr>
        <w:keepNext/>
        <w:keepLines/>
        <w:pBdr>
          <w:left w:val="single" w:color="C00000" w:sz="24" w:space="10"/>
        </w:pBdr>
        <w:spacing w:after="80" w:before="120"/>
        <w:ind w:left="200"/>
      </w:pPr>
      <w:r>
        <w:rPr>
          <w:rFonts w:ascii="Calibri" w:cs="Calibri" w:eastAsia="Calibri" w:hAnsi="Calibri"/>
          <w:b/>
          <w:bCs/>
          <w:color w:val="1F3864"/>
          <w:sz w:val="23"/>
          <w:szCs w:val="23"/>
        </w:rPr>
        <w:t xml:space="preserve">Entry 2</w:t>
      </w:r>
      <w:r>
        <w:rPr>
          <w:rFonts w:ascii="Calibri" w:cs="Calibri" w:eastAsia="Calibri" w:hAnsi="Calibri"/>
          <w:b/>
          <w:bCs/>
          <w:sz w:val="23"/>
          <w:szCs w:val="23"/>
        </w:rPr>
        <w:t xml:space="preserve">  ·  Medication change not entered in discrete EMR fields</w:t>
      </w:r>
      <w:r>
        <w:rPr>
          <w:rFonts w:ascii="Calibri" w:cs="Calibri" w:eastAsia="Calibri" w:hAnsi="Calibri"/>
          <w:b/>
          <w:bCs/>
          <w:color w:val="C00000"/>
          <w:sz w:val="16"/>
          <w:szCs w:val="16"/>
        </w:rPr>
        <w:t xml:space="preserve">   HIGH SEVERITY</w:t>
      </w:r>
    </w:p>
    <w:p>
      <w:pPr>
        <w:keepNext/>
        <w:pBdr>
          <w:left w:val="single" w:color="C00000" w:sz="24" w:space="10"/>
        </w:pBdr>
        <w:spacing w:after="70" w:line="270"/>
        <w:ind w:left="200"/>
      </w:pPr>
      <w:r>
        <w:rPr>
          <w:rFonts w:ascii="Calibri" w:cs="Calibri" w:eastAsia="Calibri" w:hAnsi="Calibri"/>
          <w:b/>
          <w:bCs/>
        </w:rPr>
        <w:t xml:space="preserve">Chain Location (Error Type): </w:t>
      </w:r>
      <w:r>
        <w:rPr>
          <w:rFonts w:ascii="Calibri" w:cs="Calibri" w:eastAsia="Calibri" w:hAnsi="Calibri"/>
          <w:b/>
          <w:bCs/>
          <w:color w:val="C00000"/>
        </w:rPr>
        <w:t xml:space="preserve">Edit error</w:t>
      </w:r>
    </w:p>
    <w:p>
      <w:pPr>
        <w:keepNext/>
        <w:pBdr>
          <w:left w:val="single" w:color="C00000" w:sz="24" w:space="10"/>
        </w:pBdr>
        <w:spacing w:after="70" w:line="270"/>
        <w:ind w:left="200"/>
      </w:pPr>
      <w:r>
        <w:rPr>
          <w:rFonts w:ascii="Calibri" w:cs="Calibri" w:eastAsia="Calibri" w:hAnsi="Calibri"/>
          <w:b/>
          <w:bCs/>
        </w:rPr>
        <w:t xml:space="preserve">Specific Content Affected: </w:t>
      </w:r>
      <w:r>
        <w:rPr>
          <w:rFonts w:ascii="Calibri" w:cs="Calibri" w:eastAsia="Calibri" w:hAnsi="Calibri"/>
        </w:rPr>
        <w:t xml:space="preserve">Lisinopril order status in the EMR. Medication Change/Orders field: “[BLANK]: Field skipped during transfer.” Active Medication List: “Lisinopril 20 MG Oral Tablet (Active),” source “EMR Active Med Table (Unchanged).” The omission occurred during transfer into the EMR (a hand-pasted step, per the Clinical Notes field), after the draft was generated.</w:t>
      </w:r>
    </w:p>
    <w:p>
      <w:pPr>
        <w:pBdr>
          <w:left w:val="single" w:color="C00000" w:sz="24" w:space="10"/>
        </w:pBdr>
        <w:spacing w:after="70" w:line="270"/>
        <w:ind w:left="200"/>
      </w:pPr>
      <w:r>
        <w:rPr>
          <w:rFonts w:ascii="Calibri" w:cs="Calibri" w:eastAsia="Calibri" w:hAnsi="Calibri"/>
          <w:b/>
          <w:bCs/>
        </w:rPr>
        <w:t xml:space="preserve">Clinical or Record Impact: </w:t>
      </w:r>
      <w:r>
        <w:rPr>
          <w:rFonts w:ascii="Calibri" w:cs="Calibri" w:eastAsia="Calibri" w:hAnsi="Calibri"/>
        </w:rPr>
        <w:t xml:space="preserve">The structured record says the patient is still on 20 mg, the dose linked to the new dizziness. Refills, pharmacy fills, interaction checks and the next medication reconciliation would all start from 20 mg. For a 68-year-old with orthostatic symptoms leaving on a two-week cruise, continued 20 mg dosing carries a fall risk. The chart now holds three different doses: 20 mg, 5 mg and 10 mg.</w:t>
      </w:r>
    </w:p>
    <w:p>
      <w:pPr>
        <w:pBdr>
          <w:left w:val="single" w:color="C00000" w:sz="24" w:space="10"/>
        </w:pBdr>
        <w:spacing w:after="70" w:line="270"/>
        <w:ind w:left="200"/>
      </w:pPr>
      <w:r>
        <w:rPr>
          <w:rFonts w:ascii="Calibri" w:cs="Calibri" w:eastAsia="Calibri" w:hAnsi="Calibri"/>
          <w:b/>
          <w:bCs/>
        </w:rPr>
        <w:t xml:space="preserve">Cross-reference: </w:t>
      </w:r>
      <w:r>
        <w:rPr>
          <w:rFonts w:ascii="Calibri" w:cs="Calibri" w:eastAsia="Calibri" w:hAnsi="Calibri"/>
          <w:color w:val="595959"/>
        </w:rPr>
        <w:t xml:space="preserve">Not correctable in the note; Section 4, Action 1</w:t>
      </w:r>
    </w:p>
    <w:p>
      <w:pPr>
        <w:spacing w:after="0" w:line="120"/>
      </w:pPr>
    </w:p>
    <w:p>
      <w:pPr>
        <w:keepNext/>
        <w:keepLines/>
        <w:pBdr>
          <w:left w:val="single" w:color="C00000" w:sz="24" w:space="10"/>
        </w:pBdr>
        <w:spacing w:after="80" w:before="120"/>
        <w:ind w:left="200"/>
      </w:pPr>
      <w:r>
        <w:rPr>
          <w:rFonts w:ascii="Calibri" w:cs="Calibri" w:eastAsia="Calibri" w:hAnsi="Calibri"/>
          <w:b/>
          <w:bCs/>
          <w:color w:val="1F3864"/>
          <w:sz w:val="23"/>
          <w:szCs w:val="23"/>
        </w:rPr>
        <w:t xml:space="preserve">Entry 3</w:t>
      </w:r>
      <w:r>
        <w:rPr>
          <w:rFonts w:ascii="Calibri" w:cs="Calibri" w:eastAsia="Calibri" w:hAnsi="Calibri"/>
          <w:b/>
          <w:bCs/>
          <w:sz w:val="23"/>
          <w:szCs w:val="23"/>
        </w:rPr>
        <w:t xml:space="preserve">  ·  Follow-up interval and purpose</w:t>
      </w:r>
      <w:r>
        <w:rPr>
          <w:rFonts w:ascii="Calibri" w:cs="Calibri" w:eastAsia="Calibri" w:hAnsi="Calibri"/>
          <w:b/>
          <w:bCs/>
          <w:color w:val="C00000"/>
          <w:sz w:val="16"/>
          <w:szCs w:val="16"/>
        </w:rPr>
        <w:t xml:space="preserve">   HIGH SEVERITY</w:t>
      </w:r>
    </w:p>
    <w:p>
      <w:pPr>
        <w:keepNext/>
        <w:pBdr>
          <w:left w:val="single" w:color="C00000" w:sz="24" w:space="10"/>
        </w:pBdr>
        <w:spacing w:after="70" w:line="270"/>
        <w:ind w:left="200"/>
      </w:pPr>
      <w:r>
        <w:rPr>
          <w:rFonts w:ascii="Calibri" w:cs="Calibri" w:eastAsia="Calibri" w:hAnsi="Calibri"/>
          <w:b/>
          <w:bCs/>
        </w:rPr>
        <w:t xml:space="preserve">Chain Location (Error Type): </w:t>
      </w:r>
      <w:r>
        <w:rPr>
          <w:rFonts w:ascii="Calibri" w:cs="Calibri" w:eastAsia="Calibri" w:hAnsi="Calibri"/>
          <w:b/>
          <w:bCs/>
          <w:color w:val="C00000"/>
        </w:rPr>
        <w:t xml:space="preserve">Draft error</w:t>
      </w:r>
    </w:p>
    <w:p>
      <w:pPr>
        <w:keepNext/>
        <w:pBdr>
          <w:left w:val="single" w:color="C00000" w:sz="24" w:space="10"/>
        </w:pBdr>
        <w:spacing w:after="70" w:line="270"/>
        <w:ind w:left="200"/>
      </w:pPr>
      <w:r>
        <w:rPr>
          <w:rFonts w:ascii="Calibri" w:cs="Calibri" w:eastAsia="Calibri" w:hAnsi="Calibri"/>
          <w:b/>
          <w:bCs/>
        </w:rPr>
        <w:t xml:space="preserve">Specific Content Affected: </w:t>
      </w:r>
      <w:r>
        <w:rPr>
          <w:rFonts w:ascii="Calibri" w:cs="Calibri" w:eastAsia="Calibri" w:hAnsi="Calibri"/>
        </w:rPr>
        <w:t xml:space="preserve">Return interval. Draft: “return to clinic in 6 months for routine chronic care follow-up and basic metabolic panel.” Transcript: “Let’s schedule a follow-up in 8 weeks to recheck your blood pressure on the 10 mg dose of Lisinopril and review a basic metabolic panel.” “Six” occurs only in the patient’s question (“three months or six?”), which the clinician did not adopt.</w:t>
      </w:r>
    </w:p>
    <w:p>
      <w:pPr>
        <w:pBdr>
          <w:left w:val="single" w:color="C00000" w:sz="24" w:space="10"/>
        </w:pBdr>
        <w:spacing w:after="70" w:line="270"/>
        <w:ind w:left="200"/>
      </w:pPr>
      <w:r>
        <w:rPr>
          <w:rFonts w:ascii="Calibri" w:cs="Calibri" w:eastAsia="Calibri" w:hAnsi="Calibri"/>
          <w:b/>
          <w:bCs/>
        </w:rPr>
        <w:t xml:space="preserve">Clinical or Record Impact: </w:t>
      </w:r>
      <w:r>
        <w:rPr>
          <w:rFonts w:ascii="Calibri" w:cs="Calibri" w:eastAsia="Calibri" w:hAnsi="Calibri"/>
        </w:rPr>
        <w:t xml:space="preserve">A 6-month interval delays the BP recheck on the new dose and the metabolic panel by about four months; the panel monitors kidney function and potassium after an ACE-inhibitor dose change. The error has carried into the Structured Follow-Up Interval field and the AVS (Finding 3.5), so scheduling would book the wrong visit.</w:t>
      </w:r>
    </w:p>
    <w:p>
      <w:pPr>
        <w:pBdr>
          <w:left w:val="single" w:color="C00000" w:sz="24" w:space="10"/>
        </w:pBdr>
        <w:spacing w:after="70" w:line="270"/>
        <w:ind w:left="200"/>
      </w:pPr>
      <w:r>
        <w:rPr>
          <w:rFonts w:ascii="Calibri" w:cs="Calibri" w:eastAsia="Calibri" w:hAnsi="Calibri"/>
          <w:b/>
          <w:bCs/>
        </w:rPr>
        <w:t xml:space="preserve">Cross-reference: </w:t>
      </w:r>
      <w:r>
        <w:rPr>
          <w:rFonts w:ascii="Calibri" w:cs="Calibri" w:eastAsia="Calibri" w:hAnsi="Calibri"/>
          <w:color w:val="595959"/>
        </w:rPr>
        <w:t xml:space="preserve">A15</w:t>
      </w:r>
    </w:p>
    <w:p>
      <w:pPr>
        <w:spacing w:after="0" w:line="120"/>
      </w:pPr>
    </w:p>
    <w:p>
      <w:pPr>
        <w:keepNext/>
        <w:keepLines/>
        <w:pBdr>
          <w:left w:val="single" w:color="B7791F" w:sz="24" w:space="10"/>
        </w:pBdr>
        <w:spacing w:after="80" w:before="120"/>
        <w:ind w:left="200"/>
      </w:pPr>
      <w:r>
        <w:rPr>
          <w:rFonts w:ascii="Calibri" w:cs="Calibri" w:eastAsia="Calibri" w:hAnsi="Calibri"/>
          <w:b/>
          <w:bCs/>
          <w:color w:val="1F3864"/>
          <w:sz w:val="23"/>
          <w:szCs w:val="23"/>
        </w:rPr>
        <w:t xml:space="preserve">Entry 4</w:t>
      </w:r>
      <w:r>
        <w:rPr>
          <w:rFonts w:ascii="Calibri" w:cs="Calibri" w:eastAsia="Calibri" w:hAnsi="Calibri"/>
          <w:b/>
          <w:bCs/>
          <w:sz w:val="23"/>
          <w:szCs w:val="23"/>
        </w:rPr>
        <w:t xml:space="preserve">  ·  Callback (safety-net) instruction</w:t>
      </w:r>
      <w:r>
        <w:rPr>
          <w:rFonts w:ascii="Calibri" w:cs="Calibri" w:eastAsia="Calibri" w:hAnsi="Calibri"/>
          <w:b/>
          <w:bCs/>
          <w:color w:val="B7791F"/>
          <w:sz w:val="16"/>
          <w:szCs w:val="16"/>
        </w:rPr>
        <w:t xml:space="preserve">   MODERATE SEVERITY</w:t>
      </w:r>
    </w:p>
    <w:p>
      <w:pPr>
        <w:keepNext/>
        <w:pBdr>
          <w:left w:val="single" w:color="B7791F" w:sz="24" w:space="10"/>
        </w:pBdr>
        <w:spacing w:after="70" w:line="270"/>
        <w:ind w:left="200"/>
      </w:pPr>
      <w:r>
        <w:rPr>
          <w:rFonts w:ascii="Calibri" w:cs="Calibri" w:eastAsia="Calibri" w:hAnsi="Calibri"/>
          <w:b/>
          <w:bCs/>
        </w:rPr>
        <w:t xml:space="preserve">Chain Location (Error Type): </w:t>
      </w:r>
      <w:r>
        <w:rPr>
          <w:rFonts w:ascii="Calibri" w:cs="Calibri" w:eastAsia="Calibri" w:hAnsi="Calibri"/>
          <w:b/>
          <w:bCs/>
          <w:color w:val="B7791F"/>
        </w:rPr>
        <w:t xml:space="preserve">Draft error</w:t>
      </w:r>
    </w:p>
    <w:p>
      <w:pPr>
        <w:keepNext/>
        <w:pBdr>
          <w:left w:val="single" w:color="B7791F" w:sz="24" w:space="10"/>
        </w:pBdr>
        <w:spacing w:after="70" w:line="270"/>
        <w:ind w:left="200"/>
      </w:pPr>
      <w:r>
        <w:rPr>
          <w:rFonts w:ascii="Calibri" w:cs="Calibri" w:eastAsia="Calibri" w:hAnsi="Calibri"/>
          <w:b/>
          <w:bCs/>
        </w:rPr>
        <w:t xml:space="preserve">Specific Content Affected: </w:t>
      </w:r>
      <w:r>
        <w:rPr>
          <w:rFonts w:ascii="Calibri" w:cs="Calibri" w:eastAsia="Calibri" w:hAnsi="Calibri"/>
        </w:rPr>
        <w:t xml:space="preserve">Draft: “call the clinic if dizziness worsens or fails to resolve.” Transcript: “If the dizziness doesn’t improve after lowering the Lisinopril, call the clinic right away.” The draft drops “right away” and the link to the dose reduction.</w:t>
      </w:r>
    </w:p>
    <w:p>
      <w:pPr>
        <w:pBdr>
          <w:left w:val="single" w:color="B7791F" w:sz="24" w:space="10"/>
        </w:pBdr>
        <w:spacing w:after="70" w:line="270"/>
        <w:ind w:left="200"/>
      </w:pPr>
      <w:r>
        <w:rPr>
          <w:rFonts w:ascii="Calibri" w:cs="Calibri" w:eastAsia="Calibri" w:hAnsi="Calibri"/>
          <w:b/>
          <w:bCs/>
        </w:rPr>
        <w:t xml:space="preserve">Clinical or Record Impact: </w:t>
      </w:r>
      <w:r>
        <w:rPr>
          <w:rFonts w:ascii="Calibri" w:cs="Calibri" w:eastAsia="Calibri" w:hAnsi="Calibri"/>
        </w:rPr>
        <w:t xml:space="preserve">The record shows less urgency than the patient was given. If the patient falls or delays calling, the chart would not show that prompt contact was advised. The instruction is also missing from the AVS (Finding 3.6).</w:t>
      </w:r>
    </w:p>
    <w:p>
      <w:pPr>
        <w:pBdr>
          <w:left w:val="single" w:color="B7791F" w:sz="24" w:space="10"/>
        </w:pBdr>
        <w:spacing w:after="70" w:line="270"/>
        <w:ind w:left="200"/>
      </w:pPr>
      <w:r>
        <w:rPr>
          <w:rFonts w:ascii="Calibri" w:cs="Calibri" w:eastAsia="Calibri" w:hAnsi="Calibri"/>
          <w:b/>
          <w:bCs/>
        </w:rPr>
        <w:t xml:space="preserve">Cross-reference: </w:t>
      </w:r>
      <w:r>
        <w:rPr>
          <w:rFonts w:ascii="Calibri" w:cs="Calibri" w:eastAsia="Calibri" w:hAnsi="Calibri"/>
          <w:color w:val="595959"/>
        </w:rPr>
        <w:t xml:space="preserve">A16</w:t>
      </w:r>
    </w:p>
    <w:p>
      <w:pPr>
        <w:spacing w:after="0" w:line="120"/>
      </w:pPr>
    </w:p>
    <w:p>
      <w:pPr>
        <w:keepNext/>
        <w:keepLines/>
        <w:pBdr>
          <w:left w:val="single" w:color="B7791F" w:sz="24" w:space="10"/>
        </w:pBdr>
        <w:spacing w:after="80" w:before="120"/>
        <w:ind w:left="200"/>
      </w:pPr>
      <w:r>
        <w:rPr>
          <w:rFonts w:ascii="Calibri" w:cs="Calibri" w:eastAsia="Calibri" w:hAnsi="Calibri"/>
          <w:b/>
          <w:bCs/>
          <w:color w:val="1F3864"/>
          <w:sz w:val="23"/>
          <w:szCs w:val="23"/>
        </w:rPr>
        <w:t xml:space="preserve">Entry 5</w:t>
      </w:r>
      <w:r>
        <w:rPr>
          <w:rFonts w:ascii="Calibri" w:cs="Calibri" w:eastAsia="Calibri" w:hAnsi="Calibri"/>
          <w:b/>
          <w:bCs/>
          <w:sz w:val="23"/>
          <w:szCs w:val="23"/>
        </w:rPr>
        <w:t xml:space="preserve">  ·  Unsupported patient education</w:t>
      </w:r>
      <w:r>
        <w:rPr>
          <w:rFonts w:ascii="Calibri" w:cs="Calibri" w:eastAsia="Calibri" w:hAnsi="Calibri"/>
          <w:b/>
          <w:bCs/>
          <w:color w:val="B7791F"/>
          <w:sz w:val="16"/>
          <w:szCs w:val="16"/>
        </w:rPr>
        <w:t xml:space="preserve">   MODERATE SEVERITY</w:t>
      </w:r>
    </w:p>
    <w:p>
      <w:pPr>
        <w:keepNext/>
        <w:pBdr>
          <w:left w:val="single" w:color="B7791F" w:sz="24" w:space="10"/>
        </w:pBdr>
        <w:spacing w:after="70" w:line="270"/>
        <w:ind w:left="200"/>
      </w:pPr>
      <w:r>
        <w:rPr>
          <w:rFonts w:ascii="Calibri" w:cs="Calibri" w:eastAsia="Calibri" w:hAnsi="Calibri"/>
          <w:b/>
          <w:bCs/>
        </w:rPr>
        <w:t xml:space="preserve">Chain Location (Error Type): </w:t>
      </w:r>
      <w:r>
        <w:rPr>
          <w:rFonts w:ascii="Calibri" w:cs="Calibri" w:eastAsia="Calibri" w:hAnsi="Calibri"/>
          <w:b/>
          <w:bCs/>
          <w:color w:val="B7791F"/>
        </w:rPr>
        <w:t xml:space="preserve">Draft error</w:t>
      </w:r>
    </w:p>
    <w:p>
      <w:pPr>
        <w:keepNext/>
        <w:pBdr>
          <w:left w:val="single" w:color="B7791F" w:sz="24" w:space="10"/>
        </w:pBdr>
        <w:spacing w:after="70" w:line="270"/>
        <w:ind w:left="200"/>
      </w:pPr>
      <w:r>
        <w:rPr>
          <w:rFonts w:ascii="Calibri" w:cs="Calibri" w:eastAsia="Calibri" w:hAnsi="Calibri"/>
          <w:b/>
          <w:bCs/>
        </w:rPr>
        <w:t xml:space="preserve">Specific Content Affected: </w:t>
      </w:r>
      <w:r>
        <w:rPr>
          <w:rFonts w:ascii="Calibri" w:cs="Calibri" w:eastAsia="Calibri" w:hAnsi="Calibri"/>
        </w:rPr>
        <w:t xml:space="preserve">Draft Plan 1: “Patient educated on rising slowly from seated/supine positions to prevent orthostatic lightheadedness.” The transcript explains the cause (“Dizziness upon standing can happen when blood pressure drops slightly with position changes”) but contains no instruction to rise slowly.</w:t>
      </w:r>
    </w:p>
    <w:p>
      <w:pPr>
        <w:pBdr>
          <w:left w:val="single" w:color="B7791F" w:sz="24" w:space="10"/>
        </w:pBdr>
        <w:spacing w:after="70" w:line="270"/>
        <w:ind w:left="200"/>
      </w:pPr>
      <w:r>
        <w:rPr>
          <w:rFonts w:ascii="Calibri" w:cs="Calibri" w:eastAsia="Calibri" w:hAnsi="Calibri"/>
          <w:b/>
          <w:bCs/>
        </w:rPr>
        <w:t xml:space="preserve">Clinical or Record Impact: </w:t>
      </w:r>
      <w:r>
        <w:rPr>
          <w:rFonts w:ascii="Calibri" w:cs="Calibri" w:eastAsia="Calibri" w:hAnsi="Calibri"/>
        </w:rPr>
        <w:t xml:space="preserve">The signed note would attest to counseling the source does not support. That is a compliance exposure. It is also a safety gap if the advice was never given, because the chart would show it as done. If Dr. Thorne confirms it was said but not captured, reclassify as capture loss and restore with clinician attestation.</w:t>
      </w:r>
    </w:p>
    <w:p>
      <w:pPr>
        <w:pBdr>
          <w:left w:val="single" w:color="B7791F" w:sz="24" w:space="10"/>
        </w:pBdr>
        <w:spacing w:after="70" w:line="270"/>
        <w:ind w:left="200"/>
      </w:pPr>
      <w:r>
        <w:rPr>
          <w:rFonts w:ascii="Calibri" w:cs="Calibri" w:eastAsia="Calibri" w:hAnsi="Calibri"/>
          <w:b/>
          <w:bCs/>
        </w:rPr>
        <w:t xml:space="preserve">Cross-reference: </w:t>
      </w:r>
      <w:r>
        <w:rPr>
          <w:rFonts w:ascii="Calibri" w:cs="Calibri" w:eastAsia="Calibri" w:hAnsi="Calibri"/>
          <w:color w:val="595959"/>
        </w:rPr>
        <w:t xml:space="preserve">A12</w:t>
      </w:r>
    </w:p>
    <w:p>
      <w:pPr>
        <w:spacing w:after="0" w:line="120"/>
      </w:pPr>
    </w:p>
    <w:p>
      <w:pPr>
        <w:keepNext/>
        <w:keepLines/>
        <w:pBdr>
          <w:left w:val="single" w:color="B7791F" w:sz="24" w:space="10"/>
        </w:pBdr>
        <w:spacing w:after="80" w:before="120"/>
        <w:ind w:left="200"/>
      </w:pPr>
      <w:r>
        <w:rPr>
          <w:rFonts w:ascii="Calibri" w:cs="Calibri" w:eastAsia="Calibri" w:hAnsi="Calibri"/>
          <w:b/>
          <w:bCs/>
          <w:color w:val="1F3864"/>
          <w:sz w:val="23"/>
          <w:szCs w:val="23"/>
        </w:rPr>
        <w:t xml:space="preserve">Entry 6</w:t>
      </w:r>
      <w:r>
        <w:rPr>
          <w:rFonts w:ascii="Calibri" w:cs="Calibri" w:eastAsia="Calibri" w:hAnsi="Calibri"/>
          <w:b/>
          <w:bCs/>
          <w:sz w:val="23"/>
          <w:szCs w:val="23"/>
        </w:rPr>
        <w:t xml:space="preserve">  ·  Medication-change context and symptom detail missing</w:t>
      </w:r>
      <w:r>
        <w:rPr>
          <w:rFonts w:ascii="Calibri" w:cs="Calibri" w:eastAsia="Calibri" w:hAnsi="Calibri"/>
          <w:b/>
          <w:bCs/>
          <w:color w:val="B7791F"/>
          <w:sz w:val="16"/>
          <w:szCs w:val="16"/>
        </w:rPr>
        <w:t xml:space="preserve">   MODERATE SEVERITY</w:t>
      </w:r>
    </w:p>
    <w:p>
      <w:pPr>
        <w:keepNext/>
        <w:pBdr>
          <w:left w:val="single" w:color="B7791F" w:sz="24" w:space="10"/>
        </w:pBdr>
        <w:spacing w:after="70" w:line="270"/>
        <w:ind w:left="200"/>
      </w:pPr>
      <w:r>
        <w:rPr>
          <w:rFonts w:ascii="Calibri" w:cs="Calibri" w:eastAsia="Calibri" w:hAnsi="Calibri"/>
          <w:b/>
          <w:bCs/>
        </w:rPr>
        <w:t xml:space="preserve">Chain Location (Error Type): </w:t>
      </w:r>
      <w:r>
        <w:rPr>
          <w:rFonts w:ascii="Calibri" w:cs="Calibri" w:eastAsia="Calibri" w:hAnsi="Calibri"/>
          <w:b/>
          <w:bCs/>
          <w:color w:val="B7791F"/>
        </w:rPr>
        <w:t xml:space="preserve">Draft error</w:t>
      </w:r>
    </w:p>
    <w:p>
      <w:pPr>
        <w:keepNext/>
        <w:pBdr>
          <w:left w:val="single" w:color="B7791F" w:sz="24" w:space="10"/>
        </w:pBdr>
        <w:spacing w:after="70" w:line="270"/>
        <w:ind w:left="200"/>
      </w:pPr>
      <w:r>
        <w:rPr>
          <w:rFonts w:ascii="Calibri" w:cs="Calibri" w:eastAsia="Calibri" w:hAnsi="Calibri"/>
          <w:b/>
          <w:bCs/>
        </w:rPr>
        <w:t xml:space="preserve">Specific Content Affected: </w:t>
      </w:r>
      <w:r>
        <w:rPr>
          <w:rFonts w:ascii="Calibri" w:cs="Calibri" w:eastAsia="Calibri" w:hAnsi="Calibri"/>
        </w:rPr>
        <w:t xml:space="preserve">(a) The lisinopril increase from 10 mg to 20 mg about 4 weeks ago, the stated reason for the visit, is absent, and the HPI calls the visit “routine.” (b) Dizziness: the transcript says “new,” “when I stand up quickly” and “passes after a few seconds”; the draft says “mild,” a word the patient never used. (c) The BP trend (142/88 before the increase; office 118/74; home average approximately 114/70 mmHg) is missing. (d) Assessment 1 calls BP both “Controlled” and “lower than the target range.”</w:t>
      </w:r>
    </w:p>
    <w:p>
      <w:pPr>
        <w:pBdr>
          <w:left w:val="single" w:color="B7791F" w:sz="24" w:space="10"/>
        </w:pBdr>
        <w:spacing w:after="70" w:line="270"/>
        <w:ind w:left="200"/>
      </w:pPr>
      <w:r>
        <w:rPr>
          <w:rFonts w:ascii="Calibri" w:cs="Calibri" w:eastAsia="Calibri" w:hAnsi="Calibri"/>
          <w:b/>
          <w:bCs/>
        </w:rPr>
        <w:t xml:space="preserve">Clinical or Record Impact: </w:t>
      </w:r>
      <w:r>
        <w:rPr>
          <w:rFonts w:ascii="Calibri" w:cs="Calibri" w:eastAsia="Calibri" w:hAnsi="Calibri"/>
        </w:rPr>
        <w:t xml:space="preserve">The note does not support the decision to cut the dose. A covering clinician, coder or auditor cannot see that the dizziness followed a dose increase or that BP fell below the clinician’s intended range. “Routine” and “mild” understate the medical decision-making, which weakens support for the visit’s billing level.</w:t>
      </w:r>
    </w:p>
    <w:p>
      <w:pPr>
        <w:pBdr>
          <w:left w:val="single" w:color="B7791F" w:sz="24" w:space="10"/>
        </w:pBdr>
        <w:spacing w:after="70" w:line="270"/>
        <w:ind w:left="200"/>
      </w:pPr>
      <w:r>
        <w:rPr>
          <w:rFonts w:ascii="Calibri" w:cs="Calibri" w:eastAsia="Calibri" w:hAnsi="Calibri"/>
          <w:b/>
          <w:bCs/>
        </w:rPr>
        <w:t xml:space="preserve">Cross-reference: </w:t>
      </w:r>
      <w:r>
        <w:rPr>
          <w:rFonts w:ascii="Calibri" w:cs="Calibri" w:eastAsia="Calibri" w:hAnsi="Calibri"/>
          <w:color w:val="595959"/>
        </w:rPr>
        <w:t xml:space="preserve">A1–A3, A6, A8</w:t>
      </w:r>
    </w:p>
    <w:p>
      <w:pPr>
        <w:spacing w:after="0" w:line="120"/>
      </w:pPr>
    </w:p>
    <w:p>
      <w:pPr>
        <w:keepNext/>
        <w:keepLines/>
        <w:pBdr>
          <w:left w:val="single" w:color="B7791F" w:sz="24" w:space="10"/>
        </w:pBdr>
        <w:spacing w:after="80" w:before="120"/>
        <w:ind w:left="200"/>
      </w:pPr>
      <w:r>
        <w:rPr>
          <w:rFonts w:ascii="Calibri" w:cs="Calibri" w:eastAsia="Calibri" w:hAnsi="Calibri"/>
          <w:b/>
          <w:bCs/>
          <w:color w:val="1F3864"/>
          <w:sz w:val="23"/>
          <w:szCs w:val="23"/>
        </w:rPr>
        <w:t xml:space="preserve">Entry 7</w:t>
      </w:r>
      <w:r>
        <w:rPr>
          <w:rFonts w:ascii="Calibri" w:cs="Calibri" w:eastAsia="Calibri" w:hAnsi="Calibri"/>
          <w:b/>
          <w:bCs/>
          <w:sz w:val="23"/>
          <w:szCs w:val="23"/>
        </w:rPr>
        <w:t xml:space="preserve">  ·  Travel discussion misstated; counseling omitted</w:t>
      </w:r>
      <w:r>
        <w:rPr>
          <w:rFonts w:ascii="Calibri" w:cs="Calibri" w:eastAsia="Calibri" w:hAnsi="Calibri"/>
          <w:b/>
          <w:bCs/>
          <w:color w:val="B7791F"/>
          <w:sz w:val="16"/>
          <w:szCs w:val="16"/>
        </w:rPr>
        <w:t xml:space="preserve">   MODERATE SEVERITY</w:t>
      </w:r>
    </w:p>
    <w:p>
      <w:pPr>
        <w:keepNext/>
        <w:pBdr>
          <w:left w:val="single" w:color="B7791F" w:sz="24" w:space="10"/>
        </w:pBdr>
        <w:spacing w:after="70" w:line="270"/>
        <w:ind w:left="200"/>
      </w:pPr>
      <w:r>
        <w:rPr>
          <w:rFonts w:ascii="Calibri" w:cs="Calibri" w:eastAsia="Calibri" w:hAnsi="Calibri"/>
          <w:b/>
          <w:bCs/>
        </w:rPr>
        <w:t xml:space="preserve">Chain Location (Error Type): </w:t>
      </w:r>
      <w:r>
        <w:rPr>
          <w:rFonts w:ascii="Calibri" w:cs="Calibri" w:eastAsia="Calibri" w:hAnsi="Calibri"/>
          <w:b/>
          <w:bCs/>
          <w:color w:val="B7791F"/>
        </w:rPr>
        <w:t xml:space="preserve">Draft error</w:t>
      </w:r>
    </w:p>
    <w:p>
      <w:pPr>
        <w:keepNext/>
        <w:pBdr>
          <w:left w:val="single" w:color="B7791F" w:sz="24" w:space="10"/>
        </w:pBdr>
        <w:spacing w:after="70" w:line="270"/>
        <w:ind w:left="200"/>
      </w:pPr>
      <w:r>
        <w:rPr>
          <w:rFonts w:ascii="Calibri" w:cs="Calibri" w:eastAsia="Calibri" w:hAnsi="Calibri"/>
          <w:b/>
          <w:bCs/>
        </w:rPr>
        <w:t xml:space="preserve">Specific Content Affected: </w:t>
      </w:r>
      <w:r>
        <w:rPr>
          <w:rFonts w:ascii="Calibri" w:cs="Calibri" w:eastAsia="Calibri" w:hAnsi="Calibri"/>
        </w:rPr>
        <w:t xml:space="preserve">Draft HPI: “requested travel clearance and medication management advice.” Transcript: “Is there anything special I need to do with my meds for traveling?” No clearance was requested. Dr. Thorne’s three instructions (pack medications in carry-on, bring a few extra days’ supply, keep testing supplies handy) appear nowhere in the draft Plan.</w:t>
      </w:r>
    </w:p>
    <w:p>
      <w:pPr>
        <w:pBdr>
          <w:left w:val="single" w:color="B7791F" w:sz="24" w:space="10"/>
        </w:pBdr>
        <w:spacing w:after="70" w:line="270"/>
        <w:ind w:left="200"/>
      </w:pPr>
      <w:r>
        <w:rPr>
          <w:rFonts w:ascii="Calibri" w:cs="Calibri" w:eastAsia="Calibri" w:hAnsi="Calibri"/>
          <w:b/>
          <w:bCs/>
        </w:rPr>
        <w:t xml:space="preserve">Clinical or Record Impact: </w:t>
      </w:r>
      <w:r>
        <w:rPr>
          <w:rFonts w:ascii="Calibri" w:cs="Calibri" w:eastAsia="Calibri" w:hAnsi="Calibri"/>
        </w:rPr>
        <w:t xml:space="preserve">“Travel clearance” implies a formal fitness-to-travel decision that a cruise line or insurer might rely on. The counseling actually given is undocumented in the note but partly appears in the AVS (Finding 3.3), so the signed note and the patient’s written instructions disagree. The cruise falls inside the 8-week recheck window, so the medication-supply advice bears directly on the new dose.</w:t>
      </w:r>
    </w:p>
    <w:p>
      <w:pPr>
        <w:pBdr>
          <w:left w:val="single" w:color="B7791F" w:sz="24" w:space="10"/>
        </w:pBdr>
        <w:spacing w:after="70" w:line="270"/>
        <w:ind w:left="200"/>
      </w:pPr>
      <w:r>
        <w:rPr>
          <w:rFonts w:ascii="Calibri" w:cs="Calibri" w:eastAsia="Calibri" w:hAnsi="Calibri"/>
          <w:b/>
          <w:bCs/>
        </w:rPr>
        <w:t xml:space="preserve">Cross-reference: </w:t>
      </w:r>
      <w:r>
        <w:rPr>
          <w:rFonts w:ascii="Calibri" w:cs="Calibri" w:eastAsia="Calibri" w:hAnsi="Calibri"/>
          <w:color w:val="595959"/>
        </w:rPr>
        <w:t xml:space="preserve">A5, A14</w:t>
      </w:r>
    </w:p>
    <w:p>
      <w:pPr>
        <w:spacing w:after="0" w:line="120"/>
      </w:pPr>
    </w:p>
    <w:p>
      <w:pPr>
        <w:keepNext/>
        <w:keepLines/>
        <w:pBdr>
          <w:left w:val="single" w:color="B7791F" w:sz="24" w:space="10"/>
        </w:pBdr>
        <w:spacing w:after="80" w:before="120"/>
        <w:ind w:left="200"/>
      </w:pPr>
      <w:r>
        <w:rPr>
          <w:rFonts w:ascii="Calibri" w:cs="Calibri" w:eastAsia="Calibri" w:hAnsi="Calibri"/>
          <w:b/>
          <w:bCs/>
          <w:color w:val="1F3864"/>
          <w:sz w:val="23"/>
          <w:szCs w:val="23"/>
        </w:rPr>
        <w:t xml:space="preserve">Entry 8</w:t>
      </w:r>
      <w:r>
        <w:rPr>
          <w:rFonts w:ascii="Calibri" w:cs="Calibri" w:eastAsia="Calibri" w:hAnsi="Calibri"/>
          <w:b/>
          <w:bCs/>
          <w:sz w:val="23"/>
          <w:szCs w:val="23"/>
        </w:rPr>
        <w:t xml:space="preserve">  ·  Diabetes complication status and regimen</w:t>
      </w:r>
      <w:r>
        <w:rPr>
          <w:rFonts w:ascii="Calibri" w:cs="Calibri" w:eastAsia="Calibri" w:hAnsi="Calibri"/>
          <w:b/>
          <w:bCs/>
          <w:color w:val="B7791F"/>
          <w:sz w:val="16"/>
          <w:szCs w:val="16"/>
        </w:rPr>
        <w:t xml:space="preserve">   MODERATE SEVERITY</w:t>
      </w:r>
    </w:p>
    <w:p>
      <w:pPr>
        <w:keepNext/>
        <w:pBdr>
          <w:left w:val="single" w:color="B7791F" w:sz="24" w:space="10"/>
        </w:pBdr>
        <w:spacing w:after="70" w:line="270"/>
        <w:ind w:left="200"/>
      </w:pPr>
      <w:r>
        <w:rPr>
          <w:rFonts w:ascii="Calibri" w:cs="Calibri" w:eastAsia="Calibri" w:hAnsi="Calibri"/>
          <w:b/>
          <w:bCs/>
        </w:rPr>
        <w:t xml:space="preserve">Chain Location (Error Type): </w:t>
      </w:r>
      <w:r>
        <w:rPr>
          <w:rFonts w:ascii="Calibri" w:cs="Calibri" w:eastAsia="Calibri" w:hAnsi="Calibri"/>
          <w:b/>
          <w:bCs/>
          <w:color w:val="B7791F"/>
        </w:rPr>
        <w:t xml:space="preserve">Draft error</w:t>
      </w:r>
    </w:p>
    <w:p>
      <w:pPr>
        <w:keepNext/>
        <w:pBdr>
          <w:left w:val="single" w:color="B7791F" w:sz="24" w:space="10"/>
        </w:pBdr>
        <w:spacing w:after="70" w:line="270"/>
        <w:ind w:left="200"/>
      </w:pPr>
      <w:r>
        <w:rPr>
          <w:rFonts w:ascii="Calibri" w:cs="Calibri" w:eastAsia="Calibri" w:hAnsi="Calibri"/>
          <w:b/>
          <w:bCs/>
        </w:rPr>
        <w:t xml:space="preserve">Specific Content Affected: </w:t>
      </w:r>
      <w:r>
        <w:rPr>
          <w:rFonts w:ascii="Calibri" w:cs="Calibri" w:eastAsia="Calibri" w:hAnsi="Calibri"/>
        </w:rPr>
        <w:t xml:space="preserve">Draft Assessment 2: “Type 2 Diabetes Mellitus without complications… Well-controlled on current oral agent regimen.” The transcript never addresses diabetic complications, and it names the regimen (metformin ER 1000 mg twice daily) that the draft leaves generic. The EMR’s E11.9 code was auto-populated from this wording (Finding 3.2).</w:t>
      </w:r>
    </w:p>
    <w:p>
      <w:pPr>
        <w:pBdr>
          <w:left w:val="single" w:color="B7791F" w:sz="24" w:space="10"/>
        </w:pBdr>
        <w:spacing w:after="70" w:line="270"/>
        <w:ind w:left="200"/>
      </w:pPr>
      <w:r>
        <w:rPr>
          <w:rFonts w:ascii="Calibri" w:cs="Calibri" w:eastAsia="Calibri" w:hAnsi="Calibri"/>
          <w:b/>
          <w:bCs/>
        </w:rPr>
        <w:t xml:space="preserve">Clinical or Record Impact: </w:t>
      </w:r>
      <w:r>
        <w:rPr>
          <w:rFonts w:ascii="Calibri" w:cs="Calibri" w:eastAsia="Calibri" w:hAnsi="Calibri"/>
        </w:rPr>
        <w:t xml:space="preserve">An unverified complication status becomes coded data. If the patient has a documented complication, E11.9 under-codes it and distorts risk adjustment and quality reporting. “Current oral agent regimen” sends the next reader elsewhere to find the drug and dose.</w:t>
      </w:r>
    </w:p>
    <w:p>
      <w:pPr>
        <w:pBdr>
          <w:left w:val="single" w:color="B7791F" w:sz="24" w:space="10"/>
        </w:pBdr>
        <w:spacing w:after="70" w:line="270"/>
        <w:ind w:left="200"/>
      </w:pPr>
      <w:r>
        <w:rPr>
          <w:rFonts w:ascii="Calibri" w:cs="Calibri" w:eastAsia="Calibri" w:hAnsi="Calibri"/>
          <w:b/>
          <w:bCs/>
        </w:rPr>
        <w:t xml:space="preserve">Cross-reference: </w:t>
      </w:r>
      <w:r>
        <w:rPr>
          <w:rFonts w:ascii="Calibri" w:cs="Calibri" w:eastAsia="Calibri" w:hAnsi="Calibri"/>
          <w:color w:val="595959"/>
        </w:rPr>
        <w:t xml:space="preserve">A9, A10</w:t>
      </w:r>
    </w:p>
    <w:p>
      <w:pPr>
        <w:spacing w:after="0" w:line="120"/>
      </w:pPr>
    </w:p>
    <w:p>
      <w:pPr>
        <w:keepNext/>
        <w:keepLines/>
        <w:pBdr>
          <w:left w:val="single" w:color="7F7F7F" w:sz="24" w:space="10"/>
        </w:pBdr>
        <w:spacing w:after="80" w:before="120"/>
        <w:ind w:left="200"/>
      </w:pPr>
      <w:r>
        <w:rPr>
          <w:rFonts w:ascii="Calibri" w:cs="Calibri" w:eastAsia="Calibri" w:hAnsi="Calibri"/>
          <w:b/>
          <w:bCs/>
          <w:color w:val="1F3864"/>
          <w:sz w:val="23"/>
          <w:szCs w:val="23"/>
        </w:rPr>
        <w:t xml:space="preserve">Entry 9</w:t>
      </w:r>
      <w:r>
        <w:rPr>
          <w:rFonts w:ascii="Calibri" w:cs="Calibri" w:eastAsia="Calibri" w:hAnsi="Calibri"/>
          <w:b/>
          <w:bCs/>
          <w:sz w:val="23"/>
          <w:szCs w:val="23"/>
        </w:rPr>
        <w:t xml:space="preserve">  ·  Probable transcription error: “Mechanically”</w:t>
      </w:r>
      <w:r>
        <w:rPr>
          <w:rFonts w:ascii="Calibri" w:cs="Calibri" w:eastAsia="Calibri" w:hAnsi="Calibri"/>
          <w:b/>
          <w:bCs/>
          <w:color w:val="7F7F7F"/>
          <w:sz w:val="16"/>
          <w:szCs w:val="16"/>
        </w:rPr>
        <w:t xml:space="preserve">   LOW SEVERITY</w:t>
      </w:r>
    </w:p>
    <w:p>
      <w:pPr>
        <w:keepNext/>
        <w:pBdr>
          <w:left w:val="single" w:color="7F7F7F" w:sz="24" w:space="10"/>
        </w:pBdr>
        <w:spacing w:after="70" w:line="270"/>
        <w:ind w:left="200"/>
      </w:pPr>
      <w:r>
        <w:rPr>
          <w:rFonts w:ascii="Calibri" w:cs="Calibri" w:eastAsia="Calibri" w:hAnsi="Calibri"/>
          <w:b/>
          <w:bCs/>
        </w:rPr>
        <w:t xml:space="preserve">Chain Location (Error Type): </w:t>
      </w:r>
      <w:r>
        <w:rPr>
          <w:rFonts w:ascii="Calibri" w:cs="Calibri" w:eastAsia="Calibri" w:hAnsi="Calibri"/>
          <w:b/>
          <w:bCs/>
          <w:color w:val="7F7F7F"/>
        </w:rPr>
        <w:t xml:space="preserve">Capture loss</w:t>
      </w:r>
    </w:p>
    <w:p>
      <w:pPr>
        <w:keepNext/>
        <w:pBdr>
          <w:left w:val="single" w:color="7F7F7F" w:sz="24" w:space="10"/>
        </w:pBdr>
        <w:spacing w:after="70" w:line="270"/>
        <w:ind w:left="200"/>
      </w:pPr>
      <w:r>
        <w:rPr>
          <w:rFonts w:ascii="Calibri" w:cs="Calibri" w:eastAsia="Calibri" w:hAnsi="Calibri"/>
          <w:b/>
          <w:bCs/>
        </w:rPr>
        <w:t xml:space="preserve">Specific Content Affected: </w:t>
      </w:r>
      <w:r>
        <w:rPr>
          <w:rFonts w:ascii="Calibri" w:cs="Calibri" w:eastAsia="Calibri" w:hAnsi="Calibri"/>
        </w:rPr>
        <w:t xml:space="preserve">Transcript: “Mechanically, you’re fine to travel.” In context this is most likely a speech-recognition substitution for “Medically.” The transcript has been flagged, not altered; Dr. Thorne should confirm the wording.</w:t>
      </w:r>
    </w:p>
    <w:p>
      <w:pPr>
        <w:pBdr>
          <w:left w:val="single" w:color="7F7F7F" w:sz="24" w:space="10"/>
        </w:pBdr>
        <w:spacing w:after="70" w:line="270"/>
        <w:ind w:left="200"/>
      </w:pPr>
      <w:r>
        <w:rPr>
          <w:rFonts w:ascii="Calibri" w:cs="Calibri" w:eastAsia="Calibri" w:hAnsi="Calibri"/>
          <w:b/>
          <w:bCs/>
        </w:rPr>
        <w:t xml:space="preserve">Clinical or Record Impact: </w:t>
      </w:r>
      <w:r>
        <w:rPr>
          <w:rFonts w:ascii="Calibri" w:cs="Calibri" w:eastAsia="Calibri" w:hAnsi="Calibri"/>
        </w:rPr>
        <w:t xml:space="preserve">The retained source contains a clinically meaningless statement on the same topic the draft overstated as “travel clearance” (Entry 7). An auditor using the transcript as evidence could not confirm what was said. Section 1 uses “fine to travel,” which is supported under either reading.</w:t>
      </w:r>
    </w:p>
    <w:p>
      <w:pPr>
        <w:pBdr>
          <w:left w:val="single" w:color="7F7F7F" w:sz="24" w:space="10"/>
        </w:pBdr>
        <w:spacing w:after="70" w:line="270"/>
        <w:ind w:left="200"/>
      </w:pPr>
      <w:r>
        <w:rPr>
          <w:rFonts w:ascii="Calibri" w:cs="Calibri" w:eastAsia="Calibri" w:hAnsi="Calibri"/>
          <w:b/>
          <w:bCs/>
        </w:rPr>
        <w:t xml:space="preserve">Cross-reference: </w:t>
      </w:r>
      <w:r>
        <w:rPr>
          <w:rFonts w:ascii="Calibri" w:cs="Calibri" w:eastAsia="Calibri" w:hAnsi="Calibri"/>
          <w:color w:val="595959"/>
        </w:rPr>
        <w:t xml:space="preserve">A14</w:t>
      </w:r>
    </w:p>
    <w:p>
      <w:pPr>
        <w:spacing w:after="0" w:line="120"/>
      </w:pPr>
    </w:p>
    <w:p>
      <w:pPr>
        <w:keepNext/>
        <w:keepLines/>
        <w:pBdr>
          <w:left w:val="single" w:color="7F7F7F" w:sz="24" w:space="10"/>
        </w:pBdr>
        <w:spacing w:after="80" w:before="120"/>
        <w:ind w:left="200"/>
      </w:pPr>
      <w:r>
        <w:rPr>
          <w:rFonts w:ascii="Calibri" w:cs="Calibri" w:eastAsia="Calibri" w:hAnsi="Calibri"/>
          <w:b/>
          <w:bCs/>
          <w:color w:val="1F3864"/>
          <w:sz w:val="23"/>
          <w:szCs w:val="23"/>
        </w:rPr>
        <w:t xml:space="preserve">Entry 10</w:t>
      </w:r>
      <w:r>
        <w:rPr>
          <w:rFonts w:ascii="Calibri" w:cs="Calibri" w:eastAsia="Calibri" w:hAnsi="Calibri"/>
          <w:b/>
          <w:bCs/>
          <w:sz w:val="23"/>
          <w:szCs w:val="23"/>
        </w:rPr>
        <w:t xml:space="preserve">  ·  Encounter data reviewed but not spoken aloud</w:t>
      </w:r>
      <w:r>
        <w:rPr>
          <w:rFonts w:ascii="Calibri" w:cs="Calibri" w:eastAsia="Calibri" w:hAnsi="Calibri"/>
          <w:b/>
          <w:bCs/>
          <w:color w:val="7F7F7F"/>
          <w:sz w:val="16"/>
          <w:szCs w:val="16"/>
        </w:rPr>
        <w:t xml:space="preserve">   LOW SEVERITY</w:t>
      </w:r>
    </w:p>
    <w:p>
      <w:pPr>
        <w:keepNext/>
        <w:pBdr>
          <w:left w:val="single" w:color="7F7F7F" w:sz="24" w:space="10"/>
        </w:pBdr>
        <w:spacing w:after="70" w:line="270"/>
        <w:ind w:left="200"/>
      </w:pPr>
      <w:r>
        <w:rPr>
          <w:rFonts w:ascii="Calibri" w:cs="Calibri" w:eastAsia="Calibri" w:hAnsi="Calibri"/>
          <w:b/>
          <w:bCs/>
        </w:rPr>
        <w:t xml:space="preserve">Chain Location (Error Type): </w:t>
      </w:r>
      <w:r>
        <w:rPr>
          <w:rFonts w:ascii="Calibri" w:cs="Calibri" w:eastAsia="Calibri" w:hAnsi="Calibri"/>
          <w:b/>
          <w:bCs/>
          <w:color w:val="7F7F7F"/>
        </w:rPr>
        <w:t xml:space="preserve">Capture loss</w:t>
      </w:r>
    </w:p>
    <w:p>
      <w:pPr>
        <w:keepNext/>
        <w:pBdr>
          <w:left w:val="single" w:color="7F7F7F" w:sz="24" w:space="10"/>
        </w:pBdr>
        <w:spacing w:after="70" w:line="270"/>
        <w:ind w:left="200"/>
      </w:pPr>
      <w:r>
        <w:rPr>
          <w:rFonts w:ascii="Calibri" w:cs="Calibri" w:eastAsia="Calibri" w:hAnsi="Calibri"/>
          <w:b/>
          <w:bCs/>
        </w:rPr>
        <w:t xml:space="preserve">Specific Content Affected: </w:t>
      </w:r>
      <w:r>
        <w:rPr>
          <w:rFonts w:ascii="Calibri" w:cs="Calibri" w:eastAsia="Calibri" w:hAnsi="Calibri"/>
        </w:rPr>
        <w:t xml:space="preserve">Dr. Thorne said “Let’s look at your home log and today’s vitals,” but only the office BP and the log averages were spoken. Not captured: heart rate and weight; the number and date range of home readings; the HbA1c collection date (“last week”); and the date of the lisinopril increase (“about four weeks ago”).</w:t>
      </w:r>
    </w:p>
    <w:p>
      <w:pPr>
        <w:pBdr>
          <w:left w:val="single" w:color="7F7F7F" w:sz="24" w:space="10"/>
        </w:pBdr>
        <w:spacing w:after="70" w:line="270"/>
        <w:ind w:left="200"/>
      </w:pPr>
      <w:r>
        <w:rPr>
          <w:rFonts w:ascii="Calibri" w:cs="Calibri" w:eastAsia="Calibri" w:hAnsi="Calibri"/>
          <w:b/>
          <w:bCs/>
        </w:rPr>
        <w:t xml:space="preserve">Clinical or Record Impact: </w:t>
      </w:r>
      <w:r>
        <w:rPr>
          <w:rFonts w:ascii="Calibri" w:cs="Calibri" w:eastAsia="Calibri" w:hAnsi="Calibri"/>
        </w:rPr>
        <w:t xml:space="preserve">The draft’s Objective section is incomplete because its source is incomplete. Heart rate matters when assessing dizziness on standing, and weight is a standard diabetes measure. These values must come from the vitals flowsheet and lab results rather than be inferred, and the AI note should not be treated as a complete record of objective data.</w:t>
      </w:r>
    </w:p>
    <w:p>
      <w:pPr>
        <w:pBdr>
          <w:left w:val="single" w:color="7F7F7F" w:sz="24" w:space="10"/>
        </w:pBdr>
        <w:spacing w:after="70" w:line="270"/>
        <w:ind w:left="200"/>
      </w:pPr>
      <w:r>
        <w:rPr>
          <w:rFonts w:ascii="Calibri" w:cs="Calibri" w:eastAsia="Calibri" w:hAnsi="Calibri"/>
          <w:b/>
          <w:bCs/>
        </w:rPr>
        <w:t xml:space="preserve">Cross-reference: </w:t>
      </w:r>
      <w:r>
        <w:rPr>
          <w:rFonts w:ascii="Calibri" w:cs="Calibri" w:eastAsia="Calibri" w:hAnsi="Calibri"/>
          <w:color w:val="595959"/>
        </w:rPr>
        <w:t xml:space="preserve">A7</w:t>
      </w:r>
    </w:p>
    <w:p>
      <w:pPr>
        <w:spacing w:after="0" w:line="120"/>
      </w:pPr>
    </w:p>
    <w:p>
      <w:pPr>
        <w:pStyle w:val="Heading1"/>
        <w:pageBreakBefore/>
      </w:pPr>
      <w:r>
        <w:rPr>
          <w:rFonts w:ascii="Calibri" w:cs="Calibri" w:eastAsia="Calibri" w:hAnsi="Calibri"/>
        </w:rPr>
        <w:t xml:space="preserve">Section 3 — EMR Record Integrity Evaluation</w:t>
      </w:r>
    </w:p>
    <w:p>
      <w:pPr>
        <w:pStyle w:val="Heading2"/>
      </w:pPr>
      <w:r>
        <w:rPr>
          <w:rFonts w:ascii="Calibri" w:cs="Calibri" w:eastAsia="Calibri" w:hAnsi="Calibri"/>
        </w:rPr>
        <w:t xml:space="preserve">Field Appropriateness</w:t>
      </w:r>
    </w:p>
    <w:p>
      <w:pPr>
        <w:keepNext/>
        <w:spacing w:after="60" w:before="140"/>
      </w:pPr>
      <w:r>
        <w:rPr>
          <w:rFonts w:ascii="Calibri" w:cs="Calibri" w:eastAsia="Calibri" w:hAnsi="Calibri"/>
          <w:b/>
          <w:bCs/>
          <w:color w:val="1F3864"/>
        </w:rPr>
        <w:t xml:space="preserve">Finding 3.1</w:t>
      </w:r>
      <w:r>
        <w:rPr>
          <w:rFonts w:ascii="Calibri" w:cs="Calibri" w:eastAsia="Calibri" w:hAnsi="Calibri"/>
          <w:b/>
          <w:bCs/>
        </w:rPr>
        <w:t xml:space="preserve">  ·  Medication change in the wrong field</w:t>
      </w:r>
    </w:p>
    <w:p>
      <w:pPr>
        <w:keepNext/>
        <w:spacing w:after="60" w:line="276"/>
        <w:ind w:left="240"/>
      </w:pPr>
      <w:r>
        <w:rPr>
          <w:rFonts w:ascii="Calibri" w:cs="Calibri" w:eastAsia="Calibri" w:hAnsi="Calibri"/>
          <w:b/>
          <w:bCs/>
        </w:rPr>
        <w:t xml:space="preserve">Observation: </w:t>
      </w:r>
      <w:r>
        <w:rPr>
          <w:rFonts w:ascii="Calibri" w:cs="Calibri" w:eastAsia="Calibri" w:hAnsi="Calibri"/>
        </w:rPr>
        <w:t xml:space="preserve">The lisinopril change appears only as free text in the Clinical Notes field, reading “20 mg daily to 5 mg daily.” The Medication Change/Orders field is blank (“Field skipped during transfer”); the Active Medication List still shows “Lisinopril 20 MG Oral Tablet (Active).”</w:t>
      </w:r>
    </w:p>
    <w:p>
      <w:pPr>
        <w:spacing w:after="120" w:line="276"/>
        <w:ind w:left="240"/>
      </w:pPr>
      <w:r>
        <w:rPr>
          <w:rFonts w:ascii="Calibri" w:cs="Calibri" w:eastAsia="Calibri" w:hAnsi="Calibri"/>
          <w:b/>
          <w:bCs/>
        </w:rPr>
        <w:t xml:space="preserve">Implication: </w:t>
      </w:r>
      <w:r>
        <w:rPr>
          <w:rFonts w:ascii="Calibri" w:cs="Calibri" w:eastAsia="Calibri" w:hAnsi="Calibri"/>
        </w:rPr>
        <w:t xml:space="preserve">Fields that drive prescribing, refills and reconciliation say the patient remains on 20 mg; the only record of the change is narrative, at the wrong dose (Entries 1–2).</w:t>
      </w:r>
    </w:p>
    <w:p>
      <w:pPr>
        <w:keepNext/>
        <w:spacing w:after="60" w:before="140"/>
      </w:pPr>
      <w:r>
        <w:rPr>
          <w:rFonts w:ascii="Calibri" w:cs="Calibri" w:eastAsia="Calibri" w:hAnsi="Calibri"/>
          <w:b/>
          <w:bCs/>
          <w:color w:val="1F3864"/>
        </w:rPr>
        <w:t xml:space="preserve">Finding 3.2</w:t>
      </w:r>
      <w:r>
        <w:rPr>
          <w:rFonts w:ascii="Calibri" w:cs="Calibri" w:eastAsia="Calibri" w:hAnsi="Calibri"/>
          <w:b/>
          <w:bCs/>
        </w:rPr>
        <w:t xml:space="preserve">  ·  Codes not clinician-selected</w:t>
      </w:r>
    </w:p>
    <w:p>
      <w:pPr>
        <w:keepNext/>
        <w:spacing w:after="60" w:line="276"/>
        <w:ind w:left="240"/>
      </w:pPr>
      <w:r>
        <w:rPr>
          <w:rFonts w:ascii="Calibri" w:cs="Calibri" w:eastAsia="Calibri" w:hAnsi="Calibri"/>
          <w:b/>
          <w:bCs/>
        </w:rPr>
        <w:t xml:space="preserve">Observation: </w:t>
      </w:r>
      <w:r>
        <w:rPr>
          <w:rFonts w:ascii="Calibri" w:cs="Calibri" w:eastAsia="Calibri" w:hAnsi="Calibri"/>
        </w:rPr>
        <w:t xml:space="preserve">Both diagnosis codes are “AI Draft Auto-Populated.” E11.9 asserts “without complications,” which the encounter never addressed (Entry 8). No code reflects the orthostatic dizziness that drove the medication change.</w:t>
      </w:r>
    </w:p>
    <w:p>
      <w:pPr>
        <w:spacing w:after="120" w:line="276"/>
        <w:ind w:left="240"/>
      </w:pPr>
      <w:r>
        <w:rPr>
          <w:rFonts w:ascii="Calibri" w:cs="Calibri" w:eastAsia="Calibri" w:hAnsi="Calibri"/>
          <w:b/>
          <w:bCs/>
        </w:rPr>
        <w:t xml:space="preserve">Implication: </w:t>
      </w:r>
      <w:r>
        <w:rPr>
          <w:rFonts w:ascii="Calibri" w:cs="Calibri" w:eastAsia="Calibri" w:hAnsi="Calibri"/>
        </w:rPr>
        <w:t xml:space="preserve">Coded data states an unverified complication status and omits the reason the medication changed.</w:t>
      </w:r>
    </w:p>
    <w:p>
      <w:pPr>
        <w:pStyle w:val="Heading2"/>
      </w:pPr>
      <w:r>
        <w:rPr>
          <w:rFonts w:ascii="Calibri" w:cs="Calibri" w:eastAsia="Calibri" w:hAnsi="Calibri"/>
        </w:rPr>
        <w:t xml:space="preserve">Traceability</w:t>
      </w:r>
    </w:p>
    <w:p>
      <w:pPr>
        <w:keepNext/>
        <w:spacing w:after="60" w:before="140"/>
      </w:pPr>
      <w:r>
        <w:rPr>
          <w:rFonts w:ascii="Calibri" w:cs="Calibri" w:eastAsia="Calibri" w:hAnsi="Calibri"/>
          <w:b/>
          <w:bCs/>
          <w:color w:val="1F3864"/>
        </w:rPr>
        <w:t xml:space="preserve">Finding 3.3</w:t>
      </w:r>
      <w:r>
        <w:rPr>
          <w:rFonts w:ascii="Calibri" w:cs="Calibri" w:eastAsia="Calibri" w:hAnsi="Calibri"/>
          <w:b/>
          <w:bCs/>
        </w:rPr>
        <w:t xml:space="preserve">  ·  AVS content not traceable</w:t>
      </w:r>
    </w:p>
    <w:p>
      <w:pPr>
        <w:keepNext/>
        <w:spacing w:after="60" w:line="276"/>
        <w:ind w:left="240"/>
      </w:pPr>
      <w:r>
        <w:rPr>
          <w:rFonts w:ascii="Calibri" w:cs="Calibri" w:eastAsia="Calibri" w:hAnsi="Calibri"/>
          <w:b/>
          <w:bCs/>
        </w:rPr>
        <w:t xml:space="preserve">Observation: </w:t>
      </w:r>
      <w:r>
        <w:rPr>
          <w:rFonts w:ascii="Calibri" w:cs="Calibri" w:eastAsia="Calibri" w:hAnsi="Calibri"/>
        </w:rPr>
        <w:t xml:space="preserve">The AVS reads “Pack medications in carry-on for Alaska cruise trip,” citing “AI HPI and Plan” as its source. Neither section contains that instruction.</w:t>
      </w:r>
    </w:p>
    <w:p>
      <w:pPr>
        <w:spacing w:after="120" w:line="276"/>
        <w:ind w:left="240"/>
      </w:pPr>
      <w:r>
        <w:rPr>
          <w:rFonts w:ascii="Calibri" w:cs="Calibri" w:eastAsia="Calibri" w:hAnsi="Calibri"/>
          <w:b/>
          <w:bCs/>
        </w:rPr>
        <w:t xml:space="preserve">Implication: </w:t>
      </w:r>
      <w:r>
        <w:rPr>
          <w:rFonts w:ascii="Calibri" w:cs="Calibri" w:eastAsia="Calibri" w:hAnsi="Calibri"/>
        </w:rPr>
        <w:t xml:space="preserve">Patient-facing text cannot be traced to the note being signed, and the signed note omits counseling the patient received in writing (Entry 7).</w:t>
      </w:r>
    </w:p>
    <w:p>
      <w:pPr>
        <w:keepNext/>
        <w:spacing w:after="60" w:before="140"/>
      </w:pPr>
      <w:r>
        <w:rPr>
          <w:rFonts w:ascii="Calibri" w:cs="Calibri" w:eastAsia="Calibri" w:hAnsi="Calibri"/>
          <w:b/>
          <w:bCs/>
          <w:color w:val="1F3864"/>
        </w:rPr>
        <w:t xml:space="preserve">Finding 3.4</w:t>
      </w:r>
      <w:r>
        <w:rPr>
          <w:rFonts w:ascii="Calibri" w:cs="Calibri" w:eastAsia="Calibri" w:hAnsi="Calibri"/>
          <w:b/>
          <w:bCs/>
        </w:rPr>
        <w:t xml:space="preserve">  ·  No verification trail</w:t>
      </w:r>
    </w:p>
    <w:p>
      <w:pPr>
        <w:keepNext/>
        <w:spacing w:after="60" w:line="276"/>
        <w:ind w:left="240"/>
      </w:pPr>
      <w:r>
        <w:rPr>
          <w:rFonts w:ascii="Calibri" w:cs="Calibri" w:eastAsia="Calibri" w:hAnsi="Calibri"/>
          <w:b/>
          <w:bCs/>
        </w:rPr>
        <w:t xml:space="preserve">Observation: </w:t>
      </w:r>
      <w:r>
        <w:rPr>
          <w:rFonts w:ascii="Calibri" w:cs="Calibri" w:eastAsia="Calibri" w:hAnsi="Calibri"/>
        </w:rPr>
        <w:t xml:space="preserve">Five of eight fields have an AI-draft origin; none records clinician verification. The pasted Clinical Notes text skips from Plan item 1 to item 3 with an ellipsis, so transfer of the metformin and callback items cannot be confirmed.</w:t>
      </w:r>
    </w:p>
    <w:p>
      <w:pPr>
        <w:spacing w:after="120" w:line="276"/>
        <w:ind w:left="240"/>
      </w:pPr>
      <w:r>
        <w:rPr>
          <w:rFonts w:ascii="Calibri" w:cs="Calibri" w:eastAsia="Calibri" w:hAnsi="Calibri"/>
          <w:b/>
          <w:bCs/>
        </w:rPr>
        <w:t xml:space="preserve">Implication: </w:t>
      </w:r>
      <w:r>
        <w:rPr>
          <w:rFonts w:ascii="Calibri" w:cs="Calibri" w:eastAsia="Calibri" w:hAnsi="Calibri"/>
        </w:rPr>
        <w:t xml:space="preserve">An auditor cannot separate verified from unverified content; the wrong values (5 mg, 6 months) carry the same provenance as correct ones.</w:t>
      </w:r>
    </w:p>
    <w:p>
      <w:pPr>
        <w:pStyle w:val="Heading2"/>
      </w:pPr>
      <w:r>
        <w:rPr>
          <w:rFonts w:ascii="Calibri" w:cs="Calibri" w:eastAsia="Calibri" w:hAnsi="Calibri"/>
        </w:rPr>
        <w:t xml:space="preserve">Downstream Usability</w:t>
      </w:r>
    </w:p>
    <w:p>
      <w:pPr>
        <w:keepNext/>
        <w:spacing w:after="60" w:before="140"/>
      </w:pPr>
      <w:r>
        <w:rPr>
          <w:rFonts w:ascii="Calibri" w:cs="Calibri" w:eastAsia="Calibri" w:hAnsi="Calibri"/>
          <w:b/>
          <w:bCs/>
          <w:color w:val="1F3864"/>
        </w:rPr>
        <w:t xml:space="preserve">Finding 3.5</w:t>
      </w:r>
      <w:r>
        <w:rPr>
          <w:rFonts w:ascii="Calibri" w:cs="Calibri" w:eastAsia="Calibri" w:hAnsi="Calibri"/>
          <w:b/>
          <w:bCs/>
        </w:rPr>
        <w:t xml:space="preserve">  ·  Follow-up field books the wrong visit</w:t>
      </w:r>
    </w:p>
    <w:p>
      <w:pPr>
        <w:keepNext/>
        <w:spacing w:after="60" w:line="276"/>
        <w:ind w:left="240"/>
      </w:pPr>
      <w:r>
        <w:rPr>
          <w:rFonts w:ascii="Calibri" w:cs="Calibri" w:eastAsia="Calibri" w:hAnsi="Calibri"/>
          <w:b/>
          <w:bCs/>
        </w:rPr>
        <w:t xml:space="preserve">Observation: </w:t>
      </w:r>
      <w:r>
        <w:rPr>
          <w:rFonts w:ascii="Calibri" w:cs="Calibri" w:eastAsia="Calibri" w:hAnsi="Calibri"/>
        </w:rPr>
        <w:t xml:space="preserve">The Structured Follow-Up Interval field and the AVS both state 6 months; the clinician specified 8 weeks (Entry 3). No structured field holds the metabolic panel.</w:t>
      </w:r>
    </w:p>
    <w:p>
      <w:pPr>
        <w:spacing w:after="120" w:line="276"/>
        <w:ind w:left="240"/>
      </w:pPr>
      <w:r>
        <w:rPr>
          <w:rFonts w:ascii="Calibri" w:cs="Calibri" w:eastAsia="Calibri" w:hAnsi="Calibri"/>
          <w:b/>
          <w:bCs/>
        </w:rPr>
        <w:t xml:space="preserve">Implication: </w:t>
      </w:r>
      <w:r>
        <w:rPr>
          <w:rFonts w:ascii="Calibri" w:cs="Calibri" w:eastAsia="Calibri" w:hAnsi="Calibri"/>
        </w:rPr>
        <w:t xml:space="preserve">Scheduling would book about four months late, delaying the BP recheck and metabolic panel after an ACE-inhibitor dose change.</w:t>
      </w:r>
    </w:p>
    <w:p>
      <w:pPr>
        <w:keepNext/>
        <w:spacing w:after="60" w:before="140"/>
      </w:pPr>
      <w:r>
        <w:rPr>
          <w:rFonts w:ascii="Calibri" w:cs="Calibri" w:eastAsia="Calibri" w:hAnsi="Calibri"/>
          <w:b/>
          <w:bCs/>
          <w:color w:val="1F3864"/>
        </w:rPr>
        <w:t xml:space="preserve">Finding 3.6</w:t>
      </w:r>
      <w:r>
        <w:rPr>
          <w:rFonts w:ascii="Calibri" w:cs="Calibri" w:eastAsia="Calibri" w:hAnsi="Calibri"/>
          <w:b/>
          <w:bCs/>
        </w:rPr>
        <w:t xml:space="preserve">  ·  Current dose cannot be determined</w:t>
      </w:r>
    </w:p>
    <w:p>
      <w:pPr>
        <w:keepNext/>
        <w:spacing w:after="60" w:line="276"/>
        <w:ind w:left="240"/>
      </w:pPr>
      <w:r>
        <w:rPr>
          <w:rFonts w:ascii="Calibri" w:cs="Calibri" w:eastAsia="Calibri" w:hAnsi="Calibri"/>
          <w:b/>
          <w:bCs/>
        </w:rPr>
        <w:t xml:space="preserve">Observation: </w:t>
      </w:r>
      <w:r>
        <w:rPr>
          <w:rFonts w:ascii="Calibri" w:cs="Calibri" w:eastAsia="Calibri" w:hAnsi="Calibri"/>
        </w:rPr>
        <w:t xml:space="preserve">The AVS has no medication or callback instruction. A pharmacist or covering clinician would find three lisinopril doses: 20 mg (medication list), 5 mg (note) and 10 mg (transcript only).</w:t>
      </w:r>
    </w:p>
    <w:p>
      <w:pPr>
        <w:spacing w:after="120" w:line="276"/>
        <w:ind w:left="240"/>
      </w:pPr>
      <w:r>
        <w:rPr>
          <w:rFonts w:ascii="Calibri" w:cs="Calibri" w:eastAsia="Calibri" w:hAnsi="Calibri"/>
          <w:b/>
          <w:bCs/>
        </w:rPr>
        <w:t xml:space="preserve">Implication: </w:t>
      </w:r>
      <w:r>
        <w:rPr>
          <w:rFonts w:ascii="Calibri" w:cs="Calibri" w:eastAsia="Calibri" w:hAnsi="Calibri"/>
        </w:rPr>
        <w:t xml:space="preserve">The current dose cannot be determined from the EMR, and the patient’s written instructions omit both the dose change and the safety-net instruction.</w:t>
      </w:r>
    </w:p>
    <w:p>
      <w:pPr>
        <w:pStyle w:val="Heading1"/>
        <w:pageBreakBefore/>
      </w:pPr>
      <w:r>
        <w:rPr>
          <w:rFonts w:ascii="Calibri" w:cs="Calibri" w:eastAsia="Calibri" w:hAnsi="Calibri"/>
        </w:rPr>
        <w:t xml:space="preserve">Section 4 — Disposition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ED6" w:sz="4"/>
              <w:left w:val="single" w:color="C00000" w:sz="36"/>
              <w:bottom w:val="single" w:color="C9CED6" w:sz="4"/>
              <w:right w:val="single" w:color="C9CED6" w:sz="4"/>
            </w:tcBorders>
            <w:shd w:fill="FBEDEC" w:color="auto" w:val="clear"/>
            <w:tcMar>
              <w:top w:type="dxa" w:w="160"/>
              <w:left w:type="dxa" w:w="240"/>
              <w:bottom w:type="dxa" w:w="160"/>
              <w:right w:type="dxa" w:w="200"/>
            </w:tcMar>
            <w:vAlign w:val="top"/>
          </w:tcPr>
          <w:p>
            <w:pPr>
              <w:spacing w:after="40"/>
            </w:pPr>
            <w:r>
              <w:rPr>
                <w:rFonts w:ascii="Calibri" w:cs="Calibri" w:eastAsia="Calibri" w:hAnsi="Calibri"/>
                <w:b/>
                <w:bCs/>
                <w:sz w:val="24"/>
                <w:szCs w:val="24"/>
              </w:rPr>
              <w:t xml:space="preserve">Recommendation:  </w:t>
            </w:r>
            <w:r>
              <w:rPr>
                <w:rFonts w:ascii="Calibri" w:cs="Calibri" w:eastAsia="Calibri" w:hAnsi="Calibri"/>
                <w:b/>
                <w:bCs/>
                <w:color w:val="C00000"/>
                <w:sz w:val="32"/>
                <w:szCs w:val="32"/>
              </w:rPr>
              <w:t xml:space="preserve">ESCALATE</w:t>
            </w:r>
          </w:p>
          <w:p>
            <w:pPr>
              <w:spacing w:after="0"/>
            </w:pPr>
            <w:r>
              <w:rPr>
                <w:rFonts w:ascii="Calibri" w:cs="Calibri" w:eastAsia="Calibri" w:hAnsi="Calibri"/>
                <w:sz w:val="20"/>
                <w:szCs w:val="20"/>
              </w:rPr>
              <w:t xml:space="preserve">Same-day clinician review; not for the routine sign-off queue.</w:t>
            </w:r>
          </w:p>
        </w:tc>
      </w:tr>
    </w:tbl>
    <w:p>
      <w:pPr>
        <w:spacing w:after="160"/>
      </w:pPr>
    </w:p>
    <w:p>
      <w:pPr>
        <w:spacing w:after="100" w:line="276"/>
      </w:pPr>
      <w:r>
        <w:rPr>
          <w:rFonts w:ascii="Calibri" w:cs="Calibri" w:eastAsia="Calibri" w:hAnsi="Calibri"/>
          <w:b/>
          <w:bCs/>
        </w:rPr>
        <w:t xml:space="preserve">Rationale: </w:t>
      </w:r>
      <w:r>
        <w:rPr>
          <w:rFonts w:ascii="Calibri" w:cs="Calibri" w:eastAsia="Calibri" w:hAnsi="Calibri"/>
        </w:rPr>
        <w:t xml:space="preserve">Editing the note alone would leave the record unsafe. Entry 1 (5 mg drafted, not 10 mg) and Entry 2 (blank Medication Change/Orders field; 20 mg still active), confirmed by Findings 3.1 and 3.6, create a three-way dose conflict that only clinician order entry can resolve. Entry 3 and Finding 3.5 show the wrong interval has already reached scheduling and the AVS. Findings 3.3–3.4 show AI content reached patient-facing and coded fields unverified.</w:t>
      </w:r>
    </w:p>
    <w:p>
      <w:pPr>
        <w:spacing w:after="60" w:before="80" w:line="276"/>
      </w:pPr>
      <w:r>
        <w:rPr>
          <w:rFonts w:ascii="Calibri" w:cs="Calibri" w:eastAsia="Calibri" w:hAnsi="Calibri"/>
          <w:b/>
          <w:bCs/>
        </w:rPr>
        <w:t xml:space="preserve">Required actions before sign-off:</w:t>
      </w:r>
    </w:p>
    <w:p>
      <w:pPr>
        <w:pStyle w:val="ListParagraph"/>
        <w:numPr>
          <w:ilvl w:val="0"/>
          <w:numId w:val="5"/>
        </w:numPr>
        <w:spacing w:after="60" w:line="264"/>
      </w:pPr>
      <w:r>
        <w:rPr>
          <w:rFonts w:ascii="Calibri" w:cs="Calibri" w:eastAsia="Calibri" w:hAnsi="Calibri"/>
        </w:rPr>
        <w:t xml:space="preserve">Dr. Thorne enters or confirms lisinopril 10 mg daily and discontinues 20 mg (Entries 1–2; Finding 3.1).</w:t>
      </w:r>
    </w:p>
    <w:p>
      <w:pPr>
        <w:pStyle w:val="ListParagraph"/>
        <w:numPr>
          <w:ilvl w:val="0"/>
          <w:numId w:val="5"/>
        </w:numPr>
        <w:spacing w:after="60" w:line="264"/>
      </w:pPr>
      <w:r>
        <w:rPr>
          <w:rFonts w:ascii="Calibri" w:cs="Calibri" w:eastAsia="Calibri" w:hAnsi="Calibri"/>
        </w:rPr>
        <w:t xml:space="preserve">Correct follow-up to 8 weeks with BP recheck and metabolic panel; update the structured field; reissue the AVS with the new dose and “call right away” instruction (Entries 3–4; Findings 3.5–3.6).</w:t>
      </w:r>
    </w:p>
    <w:p>
      <w:pPr>
        <w:pStyle w:val="ListParagraph"/>
        <w:numPr>
          <w:ilvl w:val="0"/>
          <w:numId w:val="5"/>
        </w:numPr>
        <w:spacing w:after="60" w:line="264"/>
      </w:pPr>
      <w:r>
        <w:rPr>
          <w:rFonts w:ascii="Calibri" w:cs="Calibri" w:eastAsia="Calibri" w:hAnsi="Calibri"/>
        </w:rPr>
        <w:t xml:space="preserve">Dr. Thorne confirms Entries 5, 8 and 9 (counseling, complication status, “Mechanically”).</w:t>
      </w:r>
    </w:p>
    <w:p>
      <w:pPr>
        <w:pStyle w:val="ListParagraph"/>
        <w:numPr>
          <w:ilvl w:val="0"/>
          <w:numId w:val="5"/>
        </w:numPr>
        <w:spacing w:after="60" w:line="264"/>
      </w:pPr>
      <w:r>
        <w:rPr>
          <w:rFonts w:ascii="Calibri" w:cs="Calibri" w:eastAsia="Calibri" w:hAnsi="Calibri"/>
        </w:rPr>
        <w:t xml:space="preserve">Coordinator applies Section 1 corrections and re-verifies against the transcript before sign-off.</w:t>
      </w:r>
    </w:p>
    <w:p>
      <w:pPr>
        <w:pStyle w:val="ListParagraph"/>
        <w:numPr>
          <w:ilvl w:val="0"/>
          <w:numId w:val="5"/>
        </w:numPr>
        <w:spacing w:after="60" w:line="264"/>
      </w:pPr>
      <w:r>
        <w:rPr>
          <w:rFonts w:ascii="Calibri" w:cs="Calibri" w:eastAsia="Calibri" w:hAnsi="Calibri"/>
        </w:rPr>
        <w:t xml:space="preserve">Refer Findings 3.3–3.4 to the quality lead before the compliance review.</w:t>
      </w:r>
    </w:p>
    <w:p>
      <w:pPr>
        <w:spacing w:after="360"/>
      </w:pPr>
    </w:p>
    <w:p>
      <w:pPr>
        <w:pStyle w:val="Heading1"/>
        <w:keepNext/>
      </w:pPr>
      <w:r>
        <w:rPr>
          <w:rFonts w:ascii="Calibri" w:cs="Calibri" w:eastAsia="Calibri" w:hAnsi="Calibri"/>
        </w:rPr>
        <w:t xml:space="preserve">Review Attestation</w:t>
      </w:r>
    </w:p>
    <w:p>
      <w:pPr>
        <w:keepNext/>
        <w:spacing w:after="100" w:line="276"/>
      </w:pPr>
      <w:r>
        <w:rPr>
          <w:rFonts w:ascii="Calibri" w:cs="Calibri" w:eastAsia="Calibri" w:hAnsi="Calibri"/>
        </w:rPr>
        <w:t xml:space="preserve">Reviewed against the source transcript, Dragon Copilot draft and EMR post-transfer chart for ENC-2026-1014-884.</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rPr>
          <w:trHeight w:val="560" w:hRule="atLeast"/>
        </w:trPr>
        <w:tc>
          <w:tcPr>
            <w:tcW w:type="dxa" w:w="5200"/>
            <w:tcBorders>
              <w:top w:val="none" w:color="FFFFFF" w:sz="0"/>
              <w:left w:val="none" w:color="FFFFFF" w:sz="0"/>
              <w:bottom w:val="single" w:color="7F7F7F" w:sz="6"/>
              <w:right w:val="none" w:color="FFFFFF" w:sz="0"/>
            </w:tcBorders>
            <w:tcMar>
              <w:top w:type="dxa" w:w="80"/>
              <w:left w:type="dxa" w:w="110"/>
              <w:bottom w:type="dxa" w:w="80"/>
              <w:right w:type="dxa" w:w="110"/>
            </w:tcMar>
            <w:vAlign w:val="top"/>
          </w:tcPr>
          <w:p/>
        </w:tc>
        <w:tc>
          <w:tcPr>
            <w:tcW w:type="dxa" w:w="1000"/>
            <w:tcBorders>
              <w:top w:val="none" w:color="FFFFFF" w:sz="0"/>
              <w:left w:val="none" w:color="FFFFFF" w:sz="0"/>
              <w:bottom w:val="none" w:color="FFFFFF" w:sz="0"/>
              <w:right w:val="none" w:color="FFFFFF" w:sz="0"/>
            </w:tcBorders>
            <w:tcMar>
              <w:top w:type="dxa" w:w="80"/>
              <w:left w:type="dxa" w:w="110"/>
              <w:bottom w:type="dxa" w:w="80"/>
              <w:right w:type="dxa" w:w="110"/>
            </w:tcMar>
            <w:vAlign w:val="top"/>
          </w:tcPr>
          <w:p/>
        </w:tc>
        <w:tc>
          <w:tcPr>
            <w:tcW w:type="dxa" w:w="3160"/>
            <w:tcBorders>
              <w:top w:val="none" w:color="FFFFFF" w:sz="0"/>
              <w:left w:val="none" w:color="FFFFFF" w:sz="0"/>
              <w:bottom w:val="single" w:color="7F7F7F" w:sz="6"/>
              <w:right w:val="none" w:color="FFFFFF" w:sz="0"/>
            </w:tcBorders>
            <w:tcMar>
              <w:top w:type="dxa" w:w="80"/>
              <w:left w:type="dxa" w:w="110"/>
              <w:bottom w:type="dxa" w:w="80"/>
              <w:right w:type="dxa" w:w="110"/>
            </w:tcMar>
            <w:vAlign w:val="top"/>
          </w:tcPr>
          <w:p/>
        </w:tc>
      </w:tr>
      <w:tr>
        <w:tc>
          <w:tcPr>
            <w:tcW w:type="dxa" w:w="5200"/>
            <w:tcBorders>
              <w:top w:val="none" w:color="FFFFFF" w:sz="0"/>
              <w:left w:val="none" w:color="FFFFFF" w:sz="0"/>
              <w:bottom w:val="none" w:color="FFFFFF" w:sz="0"/>
              <w:right w:val="none" w:color="FFFFFF" w:sz="0"/>
            </w:tcBorders>
            <w:tcMar>
              <w:top w:type="dxa" w:w="40"/>
              <w:left w:type="dxa" w:w="110"/>
              <w:bottom w:type="dxa" w:w="80"/>
              <w:right w:type="dxa" w:w="110"/>
            </w:tcMar>
            <w:vAlign w:val="top"/>
          </w:tcPr>
          <w:p>
            <w:pPr>
              <w:spacing w:after="40" w:line="252"/>
            </w:pPr>
            <w:r>
              <w:rPr>
                <w:rFonts w:ascii="Calibri" w:cs="Calibri" w:eastAsia="Calibri" w:hAnsi="Calibri"/>
                <w:color w:val="595959"/>
                <w:sz w:val="18"/>
                <w:szCs w:val="18"/>
              </w:rPr>
              <w:t xml:space="preserve">Reviewer (Clinical Office Coordinator)</w:t>
            </w:r>
          </w:p>
        </w:tc>
        <w:tc>
          <w:tcPr>
            <w:tcW w:type="dxa" w:w="1000"/>
            <w:tcBorders>
              <w:top w:val="none" w:color="FFFFFF" w:sz="0"/>
              <w:left w:val="none" w:color="FFFFFF" w:sz="0"/>
              <w:bottom w:val="none" w:color="FFFFFF" w:sz="0"/>
              <w:right w:val="none" w:color="FFFFFF" w:sz="0"/>
            </w:tcBorders>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
            </w:r>
          </w:p>
        </w:tc>
        <w:tc>
          <w:tcPr>
            <w:tcW w:type="dxa" w:w="3160"/>
            <w:tcBorders>
              <w:top w:val="none" w:color="FFFFFF" w:sz="0"/>
              <w:left w:val="none" w:color="FFFFFF" w:sz="0"/>
              <w:bottom w:val="none" w:color="FFFFFF" w:sz="0"/>
              <w:right w:val="none" w:color="FFFFFF" w:sz="0"/>
            </w:tcBorders>
            <w:tcMar>
              <w:top w:type="dxa" w:w="40"/>
              <w:left w:type="dxa" w:w="110"/>
              <w:bottom w:type="dxa" w:w="80"/>
              <w:right w:type="dxa" w:w="110"/>
            </w:tcMar>
            <w:vAlign w:val="top"/>
          </w:tcPr>
          <w:p>
            <w:pPr>
              <w:spacing w:after="40" w:line="252"/>
            </w:pPr>
            <w:r>
              <w:rPr>
                <w:rFonts w:ascii="Calibri" w:cs="Calibri" w:eastAsia="Calibri" w:hAnsi="Calibri"/>
                <w:color w:val="595959"/>
                <w:sz w:val="18"/>
                <w:szCs w:val="18"/>
              </w:rPr>
              <w:t xml:space="preserve">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3160"/>
      </w:tblGrid>
      <w:tr>
        <w:trPr>
          <w:trHeight w:val="560" w:hRule="atLeast"/>
        </w:trPr>
        <w:tc>
          <w:tcPr>
            <w:tcW w:type="dxa" w:w="5200"/>
            <w:tcBorders>
              <w:top w:val="none" w:color="FFFFFF" w:sz="0"/>
              <w:left w:val="none" w:color="FFFFFF" w:sz="0"/>
              <w:bottom w:val="single" w:color="7F7F7F" w:sz="6"/>
              <w:right w:val="none" w:color="FFFFFF" w:sz="0"/>
            </w:tcBorders>
            <w:tcMar>
              <w:top w:type="dxa" w:w="80"/>
              <w:left w:type="dxa" w:w="110"/>
              <w:bottom w:type="dxa" w:w="80"/>
              <w:right w:type="dxa" w:w="110"/>
            </w:tcMar>
            <w:vAlign w:val="top"/>
          </w:tcPr>
          <w:p/>
        </w:tc>
        <w:tc>
          <w:tcPr>
            <w:tcW w:type="dxa" w:w="1000"/>
            <w:tcBorders>
              <w:top w:val="none" w:color="FFFFFF" w:sz="0"/>
              <w:left w:val="none" w:color="FFFFFF" w:sz="0"/>
              <w:bottom w:val="none" w:color="FFFFFF" w:sz="0"/>
              <w:right w:val="none" w:color="FFFFFF" w:sz="0"/>
            </w:tcBorders>
            <w:tcMar>
              <w:top w:type="dxa" w:w="80"/>
              <w:left w:type="dxa" w:w="110"/>
              <w:bottom w:type="dxa" w:w="80"/>
              <w:right w:type="dxa" w:w="110"/>
            </w:tcMar>
            <w:vAlign w:val="top"/>
          </w:tcPr>
          <w:p/>
        </w:tc>
        <w:tc>
          <w:tcPr>
            <w:tcW w:type="dxa" w:w="3160"/>
            <w:tcBorders>
              <w:top w:val="none" w:color="FFFFFF" w:sz="0"/>
              <w:left w:val="none" w:color="FFFFFF" w:sz="0"/>
              <w:bottom w:val="single" w:color="7F7F7F" w:sz="6"/>
              <w:right w:val="none" w:color="FFFFFF" w:sz="0"/>
            </w:tcBorders>
            <w:tcMar>
              <w:top w:type="dxa" w:w="80"/>
              <w:left w:type="dxa" w:w="110"/>
              <w:bottom w:type="dxa" w:w="80"/>
              <w:right w:type="dxa" w:w="110"/>
            </w:tcMar>
            <w:vAlign w:val="top"/>
          </w:tcPr>
          <w:p/>
        </w:tc>
      </w:tr>
      <w:tr>
        <w:tc>
          <w:tcPr>
            <w:tcW w:type="dxa" w:w="5200"/>
            <w:tcBorders>
              <w:top w:val="none" w:color="FFFFFF" w:sz="0"/>
              <w:left w:val="none" w:color="FFFFFF" w:sz="0"/>
              <w:bottom w:val="none" w:color="FFFFFF" w:sz="0"/>
              <w:right w:val="none" w:color="FFFFFF" w:sz="0"/>
            </w:tcBorders>
            <w:tcMar>
              <w:top w:type="dxa" w:w="40"/>
              <w:left w:type="dxa" w:w="110"/>
              <w:bottom w:type="dxa" w:w="80"/>
              <w:right w:type="dxa" w:w="110"/>
            </w:tcMar>
            <w:vAlign w:val="top"/>
          </w:tcPr>
          <w:p>
            <w:pPr>
              <w:spacing w:after="40" w:line="252"/>
            </w:pPr>
            <w:r>
              <w:rPr>
                <w:rFonts w:ascii="Calibri" w:cs="Calibri" w:eastAsia="Calibri" w:hAnsi="Calibri"/>
                <w:color w:val="595959"/>
                <w:sz w:val="18"/>
                <w:szCs w:val="18"/>
              </w:rPr>
              <w:t xml:space="preserve">Clinician acknowledgment (Marcus Thorne, MD)</w:t>
            </w:r>
          </w:p>
        </w:tc>
        <w:tc>
          <w:tcPr>
            <w:tcW w:type="dxa" w:w="1000"/>
            <w:tcBorders>
              <w:top w:val="none" w:color="FFFFFF" w:sz="0"/>
              <w:left w:val="none" w:color="FFFFFF" w:sz="0"/>
              <w:bottom w:val="none" w:color="FFFFFF" w:sz="0"/>
              <w:right w:val="none" w:color="FFFFFF" w:sz="0"/>
            </w:tcBorders>
            <w:tcMar>
              <w:top w:type="dxa" w:w="80"/>
              <w:left w:type="dxa" w:w="110"/>
              <w:bottom w:type="dxa" w:w="80"/>
              <w:right w:type="dxa" w:w="110"/>
            </w:tcMar>
            <w:vAlign w:val="top"/>
          </w:tcPr>
          <w:p>
            <w:pPr>
              <w:spacing w:after="40" w:line="252"/>
            </w:pPr>
            <w:r>
              <w:rPr>
                <w:rFonts w:ascii="Calibri" w:cs="Calibri" w:eastAsia="Calibri" w:hAnsi="Calibri"/>
                <w:sz w:val="18"/>
                <w:szCs w:val="18"/>
              </w:rPr>
              <w:t xml:space="preserve"/>
            </w:r>
          </w:p>
        </w:tc>
        <w:tc>
          <w:tcPr>
            <w:tcW w:type="dxa" w:w="3160"/>
            <w:tcBorders>
              <w:top w:val="none" w:color="FFFFFF" w:sz="0"/>
              <w:left w:val="none" w:color="FFFFFF" w:sz="0"/>
              <w:bottom w:val="none" w:color="FFFFFF" w:sz="0"/>
              <w:right w:val="none" w:color="FFFFFF" w:sz="0"/>
            </w:tcBorders>
            <w:tcMar>
              <w:top w:type="dxa" w:w="40"/>
              <w:left w:type="dxa" w:w="110"/>
              <w:bottom w:type="dxa" w:w="80"/>
              <w:right w:type="dxa" w:w="110"/>
            </w:tcMar>
            <w:vAlign w:val="top"/>
          </w:tcPr>
          <w:p>
            <w:pPr>
              <w:spacing w:after="40" w:line="252"/>
            </w:pPr>
            <w:r>
              <w:rPr>
                <w:rFonts w:ascii="Calibri" w:cs="Calibri" w:eastAsia="Calibri" w:hAnsi="Calibri"/>
                <w:color w:val="595959"/>
                <w:sz w:val="18"/>
                <w:szCs w:val="18"/>
              </w:rPr>
              <w:t xml:space="preserve">Date</w:t>
            </w:r>
          </w:p>
        </w:tc>
      </w:tr>
    </w:tbl>
    <w:sectPr>
      <w:headerReference w:type="default" r:id="rId7"/>
      <w:footerReference w:type="default" r:id="rId8"/>
      <w:pgSz w:w="12240" w:h="15840" w:orient="portrait"/>
      <w:pgMar w:top="1300" w:right="1440" w:bottom="1200" w:left="1440"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95959"/>
        <w:sz w:val="15"/>
        <w:szCs w:val="15"/>
      </w:rPr>
      <w:t xml:space="preserve">Confidential: contains protected health information. Retained as quality assurance evidence.</w:t>
    </w:r>
    <w:r>
      <w:rPr>
        <w:rFonts w:ascii="Calibri" w:cs="Calibri" w:eastAsia="Calibri" w:hAnsi="Calibri"/>
        <w:color w:val="595959"/>
        <w:sz w:val="15"/>
        <w:szCs w:val="15"/>
      </w:rPr>
      <w:t xml:space="preserve">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tabs>
        <w:tab w:val="right" w:pos="9360"/>
      </w:tabs>
    </w:pPr>
    <w:r>
      <w:rPr>
        <w:rFonts w:ascii="Calibri" w:cs="Calibri" w:eastAsia="Calibri" w:hAnsi="Calibri"/>
        <w:b/>
        <w:bCs/>
        <w:color w:val="1F3864"/>
        <w:sz w:val="16"/>
        <w:szCs w:val="16"/>
      </w:rPr>
      <w:t xml:space="preserve">Documentation Review Package</w:t>
    </w:r>
    <w:r>
      <w:rPr>
        <w:rFonts w:ascii="Calibri" w:cs="Calibri" w:eastAsia="Calibri" w:hAnsi="Calibri"/>
        <w:color w:val="595959"/>
        <w:sz w:val="16"/>
        <w:szCs w:val="16"/>
      </w:rPr>
      <w:t xml:space="preserve">	Vance, Eleanor · MRN 904821 · ENC-2026-1014-884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640" w:hanging="26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6"/>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80"/>
      <w:outlineLvl w:val="1"/>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Review Package — ENC-2026-1014-884</dc:title>
  <dc:creator>Clinical Office Coordinator</dc:creator>
  <dc:description>Pre-sign-off QA review of Dragon Copilot draft note</dc:description>
  <cp:lastModifiedBy>Un-named</cp:lastModifiedBy>
  <cp:revision>1</cp:revision>
  <dcterms:created xsi:type="dcterms:W3CDTF">2026-10-26T23:25:42.911Z</dcterms:created>
  <dcterms:modified xsi:type="dcterms:W3CDTF">2026-10-26T23:25:42.912Z</dcterms:modified>
</cp:coreProperties>
</file>

<file path=docProps/custom.xml><?xml version="1.0" encoding="utf-8"?>
<Properties xmlns="http://schemas.openxmlformats.org/officeDocument/2006/custom-properties" xmlns:vt="http://schemas.openxmlformats.org/officeDocument/2006/docPropsVTypes"/>
</file>