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40"/>
          <w:szCs w:val="40"/>
        </w:rPr>
        <w:t xml:space="preserve">Dragon Copilot — Draft Clinical Note</w:t>
      </w:r>
    </w:p>
    <w:p>
      <w:pPr>
        <w:pBdr>
          <w:bottom w:val="single" w:color="1B6FB8" w:sz="6" w:space="8"/>
        </w:pBdr>
        <w:spacing w:after="240"/>
      </w:pPr>
      <w:r>
        <w:rPr>
          <w:rFonts w:ascii="Calibri" w:cs="Calibri" w:eastAsia="Calibri" w:hAnsi="Calibri"/>
          <w:color w:val="5B6169"/>
          <w:sz w:val="22"/>
          <w:szCs w:val="22"/>
        </w:rPr>
        <w:t xml:space="preserve">AI-generated draft. Not yet reviewed or signed by a provider.</w:t>
      </w:r>
    </w:p>
    <w:tbl>
      <w:tblPr>
        <w:tblW w:type="dxa" w:w="100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200"/>
        <w:gridCol w:w="2230"/>
      </w:tblGrid>
      <w:tr>
        <w:tc>
          <w:tcPr>
            <w:tcW w:type="dxa" w:w="22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Patient</w:t>
            </w:r>
          </w:p>
        </w:tc>
        <w:tc>
          <w:tcPr>
            <w:tcW w:type="dxa" w:w="3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James Okafor</w:t>
            </w:r>
          </w:p>
        </w:tc>
        <w:tc>
          <w:tcPr>
            <w:tcW w:type="dxa" w:w="22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Encounter</w:t>
            </w:r>
          </w:p>
        </w:tc>
        <w:tc>
          <w:tcPr>
            <w:tcW w:type="dxa" w:w="22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Encounter 3</w:t>
            </w:r>
          </w:p>
        </w:tc>
      </w:tr>
      <w:tr>
        <w:tc>
          <w:tcPr>
            <w:tcW w:type="dxa" w:w="22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Visit Type</w:t>
            </w:r>
          </w:p>
        </w:tc>
        <w:tc>
          <w:tcPr>
            <w:tcW w:type="dxa" w:w="3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Follow-up Consultation</w:t>
            </w:r>
          </w:p>
        </w:tc>
        <w:tc>
          <w:tcPr>
            <w:tcW w:type="dxa" w:w="22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Provider</w:t>
            </w:r>
          </w:p>
        </w:tc>
        <w:tc>
          <w:tcPr>
            <w:tcW w:type="dxa" w:w="22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Dr. Patel</w:t>
            </w:r>
          </w:p>
        </w:tc>
      </w:tr>
      <w:tr>
        <w:tc>
          <w:tcPr>
            <w:tcW w:type="dxa" w:w="22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Date / Time</w:t>
            </w:r>
          </w:p>
        </w:tc>
        <w:tc>
          <w:tcPr>
            <w:tcW w:type="dxa" w:w="3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07/29/2026 — 9:20 AM</w:t>
            </w:r>
          </w:p>
        </w:tc>
        <w:tc>
          <w:tcPr>
            <w:tcW w:type="dxa" w:w="22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Status</w:t>
            </w:r>
          </w:p>
        </w:tc>
        <w:tc>
          <w:tcPr>
            <w:tcW w:type="dxa" w:w="22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5651D"/>
                <w:sz w:val="21"/>
                <w:szCs w:val="21"/>
              </w:rPr>
              <w:t xml:space="preserve">DRAFT — UNSIGNED</w:t>
            </w:r>
          </w:p>
        </w:tc>
      </w:tr>
    </w:tbl>
    <w:p>
      <w:pPr>
        <w:shd w:fill="DCEAF6" w:color="auto" w:val="clear"/>
        <w:spacing w:after="140" w:before="3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Chief Complaint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Follow-up for type 2 diabetes and hypertension.</w:t>
      </w:r>
    </w:p>
    <w:p>
      <w:pPr>
        <w:shd w:fill="DCEAF6" w:color="auto" w:val="clear"/>
        <w:spacing w:after="140" w:before="3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History of Present Illness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Patient reports home fasting blood glucose readings ranging from 140–160 mg/dL. No episodes of hypoglycemia reported. Taking metformin 1000 mg twice daily, with occasional missed dose on weekends. Home blood pressure readings averaging 138/86 mmHg. Reports occasional chest tightness with exertion. Denies vision changes.</w:t>
      </w:r>
    </w:p>
    <w:p>
      <w:pPr>
        <w:shd w:fill="DCEAF6" w:color="auto" w:val="clear"/>
        <w:spacing w:after="140" w:before="3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Review of Systems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Positive for occasional chest tightness. Negative for polyuria, polydipsia, and vision changes.</w:t>
      </w:r>
    </w:p>
    <w:p>
      <w:pPr>
        <w:shd w:fill="DCEAF6" w:color="auto" w:val="clear"/>
        <w:spacing w:after="140" w:before="3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Physical Examination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BP 136/84 mmHg, HR 72. BMI 29.4. Foot exam: decreased sensation to monofilament testing at bilateral great toes, no ulcers noted, pulses diminished bilaterally.</w:t>
      </w:r>
    </w:p>
    <w:p>
      <w:pPr>
        <w:shd w:fill="DCEAF6" w:color="auto" w:val="clear"/>
        <w:spacing w:after="140" w:before="3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Assessment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Type 2 diabetes mellitus, suboptimal control. New finding of peripheral neuropathy. Hypertension, borderline controlled. Referral to podiatry for neuropathy evaluation recommended.</w:t>
      </w:r>
    </w:p>
    <w:p>
      <w:pPr>
        <w:shd w:fill="DCEAF6" w:color="auto" w:val="clear"/>
        <w:spacing w:after="140" w:before="3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Plan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Order hemoglobin A1c and comprehensive metabolic panel. Continue lisinopril 10 mg daily. Follow up in 3 months. Diabetic foot care education provided.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169"/>
        <w:sz w:val="16"/>
        <w:szCs w:val="16"/>
      </w:rPr>
      <w:t xml:space="preserve">Harborview Primary Care Clinic — Scenario Material — Synthetic Data for Training Use Only   |   Page </w:t>
    </w:r>
    <w:r>
      <w:rPr>
        <w:rFonts w:ascii="Calibri" w:cs="Calibri" w:eastAsia="Calibri" w:hAnsi="Calibri"/>
        <w:color w:val="5B61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2026-07-29T06:51:25.307Z</dcterms:created>
  <dcterms:modified xsi:type="dcterms:W3CDTF">2026-07-29T06:51:25.307Z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