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B3A5C"/>
          <w:sz w:val="40"/>
          <w:szCs w:val="40"/>
        </w:rPr>
        <w:t xml:space="preserve">Harborview Primary Care Clinic</w:t>
      </w:r>
    </w:p>
    <w:p>
      <w:pPr>
        <w:pBdr>
          <w:bottom w:val="single" w:color="1B6FB8" w:sz="6" w:space="8"/>
        </w:pBdr>
        <w:spacing w:after="240"/>
      </w:pPr>
      <w:r>
        <w:rPr>
          <w:rFonts w:ascii="Calibri" w:cs="Calibri" w:eastAsia="Calibri" w:hAnsi="Calibri"/>
          <w:color w:val="5B6169"/>
          <w:sz w:val="22"/>
          <w:szCs w:val="22"/>
        </w:rPr>
        <w:t xml:space="preserve">Morning Clinic Schedule — Wednesday, July 29, 2026</w:t>
      </w:r>
    </w:p>
    <w:p>
      <w:pPr>
        <w:spacing w:after="160"/>
      </w:pPr>
      <w:r>
        <w:rPr>
          <w:rFonts w:ascii="Calibri" w:cs="Calibri" w:eastAsia="Calibri" w:hAnsi="Calibri"/>
          <w:i w:val="false"/>
          <w:iCs w:val="false"/>
          <w:sz w:val="21"/>
          <w:szCs w:val="21"/>
        </w:rPr>
        <w:t xml:space="preserve">Three-provider outpatient practice. The schedule below lists all scheduled encounters for the morning session referenced in this activity.</w:t>
      </w:r>
    </w:p>
    <w:p>
      <w:pPr>
        <w:spacing w:after="200"/>
      </w:pPr>
    </w:p>
    <w:tbl>
      <w:tblPr>
        <w:tblW w:type="dxa" w:w="10030"/>
        <w:tblBorders>
          <w:top w:val="single" w:color="auto" w:sz="4"/>
          <w:left w:val="single" w:color="auto" w:sz="4"/>
          <w:bottom w:val="single" w:color="auto" w:sz="4"/>
          <w:right w:val="single" w:color="auto" w:sz="4"/>
          <w:insideH w:val="single" w:color="auto" w:sz="4"/>
          <w:insideV w:val="single" w:color="auto" w:sz="4"/>
        </w:tblBorders>
      </w:tblPr>
      <w:tblGrid>
        <w:gridCol w:w="1150"/>
        <w:gridCol w:w="1650"/>
        <w:gridCol w:w="1150"/>
        <w:gridCol w:w="1900"/>
        <w:gridCol w:w="1500"/>
        <w:gridCol w:w="2680"/>
      </w:tblGrid>
      <w:tr>
        <w:trPr>
          <w:tblHeader/>
        </w:trPr>
        <w:tc>
          <w:tcPr>
            <w:tcW w:type="dxa" w:w="1150"/>
            <w:tcBorders>
              <w:top w:val="single" w:color="C9C9C0" w:sz="4"/>
              <w:left w:val="single" w:color="C9C9C0" w:sz="4"/>
              <w:bottom w:val="single" w:color="C9C9C0" w:sz="4"/>
              <w:right w:val="single" w:color="C9C9C0" w:sz="4"/>
            </w:tcBorders>
            <w:shd w:fill="1B3A5C"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21"/>
                <w:szCs w:val="21"/>
              </w:rPr>
              <w:t xml:space="preserve">Time</w:t>
            </w:r>
          </w:p>
        </w:tc>
        <w:tc>
          <w:tcPr>
            <w:tcW w:type="dxa" w:w="1650"/>
            <w:tcBorders>
              <w:top w:val="single" w:color="C9C9C0" w:sz="4"/>
              <w:left w:val="single" w:color="C9C9C0" w:sz="4"/>
              <w:bottom w:val="single" w:color="C9C9C0" w:sz="4"/>
              <w:right w:val="single" w:color="C9C9C0" w:sz="4"/>
            </w:tcBorders>
            <w:shd w:fill="1B3A5C"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21"/>
                <w:szCs w:val="21"/>
              </w:rPr>
              <w:t xml:space="preserve">Patient</w:t>
            </w:r>
          </w:p>
        </w:tc>
        <w:tc>
          <w:tcPr>
            <w:tcW w:type="dxa" w:w="1150"/>
            <w:tcBorders>
              <w:top w:val="single" w:color="C9C9C0" w:sz="4"/>
              <w:left w:val="single" w:color="C9C9C0" w:sz="4"/>
              <w:bottom w:val="single" w:color="C9C9C0" w:sz="4"/>
              <w:right w:val="single" w:color="C9C9C0" w:sz="4"/>
            </w:tcBorders>
            <w:shd w:fill="1B3A5C"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21"/>
                <w:szCs w:val="21"/>
              </w:rPr>
              <w:t xml:space="preserve">Encounter</w:t>
            </w:r>
          </w:p>
        </w:tc>
        <w:tc>
          <w:tcPr>
            <w:tcW w:type="dxa" w:w="1900"/>
            <w:tcBorders>
              <w:top w:val="single" w:color="C9C9C0" w:sz="4"/>
              <w:left w:val="single" w:color="C9C9C0" w:sz="4"/>
              <w:bottom w:val="single" w:color="C9C9C0" w:sz="4"/>
              <w:right w:val="single" w:color="C9C9C0" w:sz="4"/>
            </w:tcBorders>
            <w:shd w:fill="1B3A5C"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21"/>
                <w:szCs w:val="21"/>
              </w:rPr>
              <w:t xml:space="preserve">Visit Type</w:t>
            </w:r>
          </w:p>
        </w:tc>
        <w:tc>
          <w:tcPr>
            <w:tcW w:type="dxa" w:w="1500"/>
            <w:tcBorders>
              <w:top w:val="single" w:color="C9C9C0" w:sz="4"/>
              <w:left w:val="single" w:color="C9C9C0" w:sz="4"/>
              <w:bottom w:val="single" w:color="C9C9C0" w:sz="4"/>
              <w:right w:val="single" w:color="C9C9C0" w:sz="4"/>
            </w:tcBorders>
            <w:shd w:fill="1B3A5C"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21"/>
                <w:szCs w:val="21"/>
              </w:rPr>
              <w:t xml:space="preserve">Provider</w:t>
            </w:r>
          </w:p>
        </w:tc>
        <w:tc>
          <w:tcPr>
            <w:tcW w:type="dxa" w:w="2680"/>
            <w:tcBorders>
              <w:top w:val="single" w:color="C9C9C0" w:sz="4"/>
              <w:left w:val="single" w:color="C9C9C0" w:sz="4"/>
              <w:bottom w:val="single" w:color="C9C9C0" w:sz="4"/>
              <w:right w:val="single" w:color="C9C9C0" w:sz="4"/>
            </w:tcBorders>
            <w:shd w:fill="1B3A5C"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21"/>
                <w:szCs w:val="21"/>
              </w:rPr>
              <w:t xml:space="preserve">Reason for Visit</w:t>
            </w:r>
          </w:p>
        </w:tc>
      </w:tr>
      <w:tr>
        <w:tc>
          <w:tcPr>
            <w:tcW w:type="dxa" w:w="11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sz w:val="21"/>
                <w:szCs w:val="21"/>
              </w:rPr>
              <w:t xml:space="preserve">8:00 AM</w:t>
            </w:r>
          </w:p>
        </w:tc>
        <w:tc>
          <w:tcPr>
            <w:tcW w:type="dxa" w:w="16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sz w:val="21"/>
                <w:szCs w:val="21"/>
              </w:rPr>
              <w:t xml:space="preserve">Robert Klein</w:t>
            </w:r>
          </w:p>
        </w:tc>
        <w:tc>
          <w:tcPr>
            <w:tcW w:type="dxa" w:w="11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sz w:val="21"/>
                <w:szCs w:val="21"/>
              </w:rPr>
              <w:t xml:space="preserve">Encounter 1</w:t>
            </w:r>
          </w:p>
        </w:tc>
        <w:tc>
          <w:tcPr>
            <w:tcW w:type="dxa" w:w="190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sz w:val="21"/>
                <w:szCs w:val="21"/>
              </w:rPr>
              <w:t xml:space="preserve">Annual Wellness Visit</w:t>
            </w:r>
          </w:p>
        </w:tc>
        <w:tc>
          <w:tcPr>
            <w:tcW w:type="dxa" w:w="150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sz w:val="21"/>
                <w:szCs w:val="21"/>
              </w:rPr>
              <w:t xml:space="preserve">Dr. Patel</w:t>
            </w:r>
          </w:p>
        </w:tc>
        <w:tc>
          <w:tcPr>
            <w:tcW w:type="dxa" w:w="268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sz w:val="21"/>
                <w:szCs w:val="21"/>
              </w:rPr>
              <w:t xml:space="preserve">Routine annual physical exam; no acute concerns reported by patient.</w:t>
            </w:r>
          </w:p>
        </w:tc>
      </w:tr>
      <w:tr>
        <w:tc>
          <w:tcPr>
            <w:tcW w:type="dxa" w:w="1150"/>
            <w:tcBorders>
              <w:top w:val="single" w:color="C9C9C0" w:sz="4"/>
              <w:left w:val="single" w:color="C9C9C0" w:sz="4"/>
              <w:bottom w:val="single" w:color="C9C9C0" w:sz="4"/>
              <w:right w:val="single" w:color="C9C9C0" w:sz="4"/>
            </w:tcBorders>
            <w:shd w:fill="F1EFE8"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sz w:val="21"/>
                <w:szCs w:val="21"/>
              </w:rPr>
              <w:t xml:space="preserve">8:40 AM</w:t>
            </w:r>
          </w:p>
        </w:tc>
        <w:tc>
          <w:tcPr>
            <w:tcW w:type="dxa" w:w="1650"/>
            <w:tcBorders>
              <w:top w:val="single" w:color="C9C9C0" w:sz="4"/>
              <w:left w:val="single" w:color="C9C9C0" w:sz="4"/>
              <w:bottom w:val="single" w:color="C9C9C0" w:sz="4"/>
              <w:right w:val="single" w:color="C9C9C0" w:sz="4"/>
            </w:tcBorders>
            <w:shd w:fill="F1EFE8"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sz w:val="21"/>
                <w:szCs w:val="21"/>
              </w:rPr>
              <w:t xml:space="preserve">Maria Chen</w:t>
            </w:r>
          </w:p>
        </w:tc>
        <w:tc>
          <w:tcPr>
            <w:tcW w:type="dxa" w:w="1150"/>
            <w:tcBorders>
              <w:top w:val="single" w:color="C9C9C0" w:sz="4"/>
              <w:left w:val="single" w:color="C9C9C0" w:sz="4"/>
              <w:bottom w:val="single" w:color="C9C9C0" w:sz="4"/>
              <w:right w:val="single" w:color="C9C9C0" w:sz="4"/>
            </w:tcBorders>
            <w:shd w:fill="F1EFE8"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sz w:val="21"/>
                <w:szCs w:val="21"/>
              </w:rPr>
              <w:t xml:space="preserve">Encounter 2</w:t>
            </w:r>
          </w:p>
        </w:tc>
        <w:tc>
          <w:tcPr>
            <w:tcW w:type="dxa" w:w="1900"/>
            <w:tcBorders>
              <w:top w:val="single" w:color="C9C9C0" w:sz="4"/>
              <w:left w:val="single" w:color="C9C9C0" w:sz="4"/>
              <w:bottom w:val="single" w:color="C9C9C0" w:sz="4"/>
              <w:right w:val="single" w:color="C9C9C0" w:sz="4"/>
            </w:tcBorders>
            <w:shd w:fill="F1EFE8"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sz w:val="21"/>
                <w:szCs w:val="21"/>
              </w:rPr>
              <w:t xml:space="preserve">Acute Care Visit</w:t>
            </w:r>
          </w:p>
        </w:tc>
        <w:tc>
          <w:tcPr>
            <w:tcW w:type="dxa" w:w="1500"/>
            <w:tcBorders>
              <w:top w:val="single" w:color="C9C9C0" w:sz="4"/>
              <w:left w:val="single" w:color="C9C9C0" w:sz="4"/>
              <w:bottom w:val="single" w:color="C9C9C0" w:sz="4"/>
              <w:right w:val="single" w:color="C9C9C0" w:sz="4"/>
            </w:tcBorders>
            <w:shd w:fill="F1EFE8"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sz w:val="21"/>
                <w:szCs w:val="21"/>
              </w:rPr>
              <w:t xml:space="preserve">Dr. Patel</w:t>
            </w:r>
          </w:p>
        </w:tc>
        <w:tc>
          <w:tcPr>
            <w:tcW w:type="dxa" w:w="2680"/>
            <w:tcBorders>
              <w:top w:val="single" w:color="C9C9C0" w:sz="4"/>
              <w:left w:val="single" w:color="C9C9C0" w:sz="4"/>
              <w:bottom w:val="single" w:color="C9C9C0" w:sz="4"/>
              <w:right w:val="single" w:color="C9C9C0" w:sz="4"/>
            </w:tcBorders>
            <w:shd w:fill="F1EFE8"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sz w:val="21"/>
                <w:szCs w:val="21"/>
              </w:rPr>
              <w:t xml:space="preserve">Sore throat and fever for three days; rule out streptococcal pharyngitis.</w:t>
            </w:r>
          </w:p>
        </w:tc>
      </w:tr>
      <w:tr>
        <w:tc>
          <w:tcPr>
            <w:tcW w:type="dxa" w:w="11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sz w:val="21"/>
                <w:szCs w:val="21"/>
              </w:rPr>
              <w:t xml:space="preserve">9:20 AM</w:t>
            </w:r>
          </w:p>
        </w:tc>
        <w:tc>
          <w:tcPr>
            <w:tcW w:type="dxa" w:w="16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sz w:val="21"/>
                <w:szCs w:val="21"/>
              </w:rPr>
              <w:t xml:space="preserve">James Okafor</w:t>
            </w:r>
          </w:p>
        </w:tc>
        <w:tc>
          <w:tcPr>
            <w:tcW w:type="dxa" w:w="11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sz w:val="21"/>
                <w:szCs w:val="21"/>
              </w:rPr>
              <w:t xml:space="preserve">Encounter 3</w:t>
            </w:r>
          </w:p>
        </w:tc>
        <w:tc>
          <w:tcPr>
            <w:tcW w:type="dxa" w:w="190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sz w:val="21"/>
                <w:szCs w:val="21"/>
              </w:rPr>
              <w:t xml:space="preserve">Follow-up Consultation</w:t>
            </w:r>
          </w:p>
        </w:tc>
        <w:tc>
          <w:tcPr>
            <w:tcW w:type="dxa" w:w="150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sz w:val="21"/>
                <w:szCs w:val="21"/>
              </w:rPr>
              <w:t xml:space="preserve">Dr. Patel</w:t>
            </w:r>
          </w:p>
        </w:tc>
        <w:tc>
          <w:tcPr>
            <w:tcW w:type="dxa" w:w="268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sz w:val="21"/>
                <w:szCs w:val="21"/>
              </w:rPr>
              <w:t xml:space="preserve">Three-month follow-up for type 2 diabetes and hypertension.</w:t>
            </w:r>
          </w:p>
        </w:tc>
      </w:tr>
    </w:tbl>
    <w:p>
      <w:pPr>
        <w:pBdr>
          <w:left w:val="single" w:color="1B6FB8" w:sz="18" w:space="6"/>
        </w:pBdr>
        <w:shd w:fill="F1EFE8" w:color="auto" w:val="clear"/>
        <w:spacing w:after="200" w:before="200"/>
      </w:pPr>
      <w:r>
        <w:rPr>
          <w:rFonts w:ascii="Calibri" w:cs="Calibri" w:eastAsia="Calibri" w:hAnsi="Calibri"/>
          <w:b/>
          <w:bCs/>
          <w:i/>
          <w:iCs/>
          <w:sz w:val="20"/>
          <w:szCs w:val="20"/>
        </w:rPr>
        <w:t xml:space="preserve">Note: </w:t>
      </w:r>
      <w:r>
        <w:rPr>
          <w:rFonts w:ascii="Calibri" w:cs="Calibri" w:eastAsia="Calibri" w:hAnsi="Calibri"/>
          <w:i/>
          <w:iCs/>
          <w:sz w:val="20"/>
          <w:szCs w:val="20"/>
        </w:rPr>
        <w:t xml:space="preserve">Encounter 1 has already been reviewed and signed earlier in this session. Your verification scope for this activity begins at Encounter 2. Use all three encounters, including Encounter 1, when completing the capture configuration plan.</w:t>
      </w:r>
    </w:p>
    <w:p>
      <w:pPr>
        <w:spacing w:after="100" w:before="220"/>
      </w:pPr>
      <w:r>
        <w:rPr>
          <w:rFonts w:ascii="Calibri" w:cs="Calibri" w:eastAsia="Calibri" w:hAnsi="Calibri"/>
          <w:b/>
          <w:bCs/>
          <w:color w:val="1B6FB8"/>
          <w:sz w:val="22"/>
          <w:szCs w:val="22"/>
        </w:rPr>
        <w:t xml:space="preserve">Visit Type Reference</w:t>
      </w:r>
    </w:p>
    <w:p>
      <w:pPr>
        <w:spacing w:after="100"/>
      </w:pPr>
      <w:r>
        <w:rPr>
          <w:rFonts w:ascii="Calibri" w:cs="Calibri" w:eastAsia="Calibri" w:hAnsi="Calibri"/>
          <w:i w:val="false"/>
          <w:iCs w:val="false"/>
          <w:sz w:val="21"/>
          <w:szCs w:val="21"/>
        </w:rPr>
        <w:t xml:space="preserve">Annual Wellness Visit — a preventive, comprehensive check-up covering a broad review of systems, health maintenance screening, and preventive counseling. Typically longer and less clinically urgent than an acute visit.</w:t>
      </w:r>
    </w:p>
    <w:p>
      <w:pPr>
        <w:spacing w:after="100"/>
      </w:pPr>
      <w:r>
        <w:rPr>
          <w:rFonts w:ascii="Calibri" w:cs="Calibri" w:eastAsia="Calibri" w:hAnsi="Calibri"/>
          <w:i w:val="false"/>
          <w:iCs w:val="false"/>
          <w:sz w:val="21"/>
          <w:szCs w:val="21"/>
        </w:rPr>
        <w:t xml:space="preserve">Acute Care Visit — a problem-focused visit addressing a new or worsening symptom. Typically shorter, with a narrow clinical focus and a higher likelihood of same-day decision points (e.g., point-of-care testing).</w:t>
      </w:r>
    </w:p>
    <w:p>
      <w:pPr>
        <w:spacing w:after="100"/>
      </w:pPr>
      <w:r>
        <w:rPr>
          <w:rFonts w:ascii="Calibri" w:cs="Calibri" w:eastAsia="Calibri" w:hAnsi="Calibri"/>
          <w:i w:val="false"/>
          <w:iCs w:val="false"/>
          <w:sz w:val="21"/>
          <w:szCs w:val="21"/>
        </w:rPr>
        <w:t xml:space="preserve">Follow-up Consultation — a visit to reassess one or more established chronic conditions against prior treatment goals. Typically references prior data (home readings, labs) and prior treatment plans.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169"/>
        <w:sz w:val="16"/>
        <w:szCs w:val="16"/>
      </w:rPr>
      <w:t xml:space="preserve">Harborview Primary Care Clinic — Scenario Material — Synthetic Data for Training Use Only   |   Page </w:t>
    </w:r>
    <w:r>
      <w:rPr>
        <w:rFonts w:ascii="Calibri" w:cs="Calibri" w:eastAsia="Calibri" w:hAnsi="Calibri"/>
        <w:color w:val="5B61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2026-07-29T06:51:24.859Z</dcterms:created>
  <dcterms:modified xsi:type="dcterms:W3CDTF">2026-07-29T06:51:24.876Z</dcterms:modified>
</cp:coreProperties>
</file>

<file path=docProps/custom.xml><?xml version="1.0" encoding="utf-8"?>
<Properties xmlns="http://schemas.openxmlformats.org/officeDocument/2006/custom-properties" xmlns:vt="http://schemas.openxmlformats.org/officeDocument/2006/docPropsVTypes"/>
</file>