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B3A5C"/>
          <w:sz w:val="40"/>
          <w:szCs w:val="40"/>
        </w:rPr>
        <w:t xml:space="preserve">Documentation Verification Package</w:t>
      </w:r>
    </w:p>
    <w:p>
      <w:pPr>
        <w:pBdr>
          <w:bottom w:val="single" w:color="1B6FB8" w:sz="6" w:space="8"/>
        </w:pBdr>
        <w:spacing w:after="240"/>
      </w:pPr>
      <w:r>
        <w:rPr>
          <w:rFonts w:ascii="Calibri" w:cs="Calibri" w:eastAsia="Calibri" w:hAnsi="Calibri"/>
          <w:color w:val="5B6169"/>
          <w:sz w:val="22"/>
          <w:szCs w:val="22"/>
        </w:rPr>
        <w:t xml:space="preserve">Harborview Primary Care Clinic — Morning Session</w:t>
      </w:r>
    </w:p>
    <w:tbl>
      <w:tblPr>
        <w:tblW w:type="dxa" w:w="10030"/>
        <w:tblBorders>
          <w:top w:val="single" w:color="auto" w:sz="4"/>
          <w:left w:val="single" w:color="auto" w:sz="4"/>
          <w:bottom w:val="single" w:color="auto" w:sz="4"/>
          <w:right w:val="single" w:color="auto" w:sz="4"/>
          <w:insideH w:val="single" w:color="auto" w:sz="4"/>
          <w:insideV w:val="single" w:color="auto" w:sz="4"/>
        </w:tblBorders>
      </w:tblPr>
      <w:tblGrid>
        <w:gridCol w:w="2400"/>
        <w:gridCol w:w="7630"/>
      </w:tblGrid>
      <w:tr>
        <w:tc>
          <w:tcPr>
            <w:tcW w:type="dxa" w:w="2400"/>
            <w:tcBorders>
              <w:top w:val="single" w:color="C9C9C0" w:sz="4"/>
              <w:left w:val="single" w:color="C9C9C0" w:sz="4"/>
              <w:bottom w:val="single" w:color="C9C9C0" w:sz="4"/>
              <w:right w:val="single" w:color="C9C9C0" w:sz="4"/>
            </w:tcBorders>
            <w:shd w:fill="F1EFE8"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sz w:val="21"/>
                <w:szCs w:val="21"/>
              </w:rPr>
              <w:t xml:space="preserve">Prepared by:</w:t>
            </w:r>
          </w:p>
        </w:tc>
        <w:tc>
          <w:tcPr>
            <w:tcW w:type="dxa" w:w="7630"/>
            <w:tcBorders>
              <w:top w:val="single" w:color="C9C9C0" w:sz="4"/>
              <w:left w:val="single" w:color="C9C9C0" w:sz="4"/>
              <w:bottom w:val="single" w:color="C9C9C0" w:sz="4"/>
              <w:right w:val="single" w:color="C9C9C0" w:sz="4"/>
            </w:tcBorders>
            <w:tcMar>
              <w:top w:type="dxa" w:w="200"/>
              <w:left w:type="dxa" w:w="120"/>
              <w:bottom w:type="dxa" w:w="200"/>
              <w:right w:type="dxa" w:w="120"/>
            </w:tcMar>
            <w:vAlign w:val="center"/>
          </w:tcPr>
          <w:p>
            <w:pPr>
              <w:spacing w:after="0"/>
            </w:pPr>
            <w:r>
              <w:rPr>
                <w:rFonts w:ascii="Calibri" w:cs="Calibri" w:eastAsia="Calibri" w:hAnsi="Calibri"/>
                <w:sz w:val="21"/>
                <w:szCs w:val="21"/>
              </w:rPr>
              <w:t xml:space="preserve">Documentation Quality Coordinator, Harborview Primary Care Clinic</w:t>
            </w:r>
          </w:p>
        </w:tc>
      </w:tr>
      <w:tr>
        <w:tc>
          <w:tcPr>
            <w:tcW w:type="dxa" w:w="2400"/>
            <w:tcBorders>
              <w:top w:val="single" w:color="C9C9C0" w:sz="4"/>
              <w:left w:val="single" w:color="C9C9C0" w:sz="4"/>
              <w:bottom w:val="single" w:color="C9C9C0" w:sz="4"/>
              <w:right w:val="single" w:color="C9C9C0" w:sz="4"/>
            </w:tcBorders>
            <w:shd w:fill="F1EFE8"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sz w:val="21"/>
                <w:szCs w:val="21"/>
              </w:rPr>
              <w:t xml:space="preserve">Date:</w:t>
            </w:r>
          </w:p>
        </w:tc>
        <w:tc>
          <w:tcPr>
            <w:tcW w:type="dxa" w:w="7630"/>
            <w:tcBorders>
              <w:top w:val="single" w:color="C9C9C0" w:sz="4"/>
              <w:left w:val="single" w:color="C9C9C0" w:sz="4"/>
              <w:bottom w:val="single" w:color="C9C9C0" w:sz="4"/>
              <w:right w:val="single" w:color="C9C9C0" w:sz="4"/>
            </w:tcBorders>
            <w:tcMar>
              <w:top w:type="dxa" w:w="200"/>
              <w:left w:type="dxa" w:w="120"/>
              <w:bottom w:type="dxa" w:w="200"/>
              <w:right w:type="dxa" w:w="120"/>
            </w:tcMar>
            <w:vAlign w:val="center"/>
          </w:tcPr>
          <w:p>
            <w:pPr>
              <w:spacing w:after="0"/>
            </w:pPr>
            <w:r>
              <w:rPr>
                <w:rFonts w:ascii="Calibri" w:cs="Calibri" w:eastAsia="Calibri" w:hAnsi="Calibri"/>
                <w:sz w:val="21"/>
                <w:szCs w:val="21"/>
              </w:rPr>
              <w:t xml:space="preserve">Wednesday, July 29, 2026 (morning clinic session, Dr. Patel)</w:t>
            </w:r>
          </w:p>
        </w:tc>
      </w:tr>
    </w:tbl>
    <w:p>
      <w:pPr>
        <w:shd w:fill="DCEAF6" w:color="auto" w:val="clear"/>
        <w:spacing w:after="140" w:before="320"/>
      </w:pPr>
      <w:r>
        <w:rPr>
          <w:rFonts w:ascii="Calibri" w:cs="Calibri" w:eastAsia="Calibri" w:hAnsi="Calibri"/>
          <w:b/>
          <w:bCs/>
          <w:color w:val="1B3A5C"/>
          <w:sz w:val="24"/>
          <w:szCs w:val="24"/>
        </w:rPr>
        <w:t xml:space="preserve">  Component 1: Capture Configuration Plan</w:t>
      </w:r>
    </w:p>
    <w:p>
      <w:pPr>
        <w:spacing w:after="160"/>
      </w:pPr>
      <w:r>
        <w:rPr>
          <w:rFonts w:ascii="Calibri" w:cs="Calibri" w:eastAsia="Calibri" w:hAnsi="Calibri"/>
          <w:i/>
          <w:iCs/>
          <w:color w:val="5B6169"/>
          <w:sz w:val="21"/>
          <w:szCs w:val="21"/>
        </w:rPr>
        <w:t xml:space="preserve">Document the visit type, capture settings, and encounter-specific reasoning for all three scheduled encounters.</w:t>
      </w:r>
    </w:p>
    <w:p>
      <w:pPr>
        <w:spacing w:after="100" w:before="220"/>
      </w:pPr>
      <w:r>
        <w:rPr>
          <w:rFonts w:ascii="Calibri" w:cs="Calibri" w:eastAsia="Calibri" w:hAnsi="Calibri"/>
          <w:b/>
          <w:bCs/>
          <w:color w:val="1B6FB8"/>
          <w:sz w:val="22"/>
          <w:szCs w:val="22"/>
        </w:rPr>
        <w:t xml:space="preserve">Encounter 1 — Robert Klein, 8:00 AM</w:t>
      </w:r>
    </w:p>
    <w:tbl>
      <w:tblPr>
        <w:tblW w:type="dxa" w:w="10030"/>
        <w:tblBorders>
          <w:top w:val="single" w:color="auto" w:sz="4"/>
          <w:left w:val="single" w:color="auto" w:sz="4"/>
          <w:bottom w:val="single" w:color="auto" w:sz="4"/>
          <w:right w:val="single" w:color="auto" w:sz="4"/>
          <w:insideH w:val="single" w:color="auto" w:sz="4"/>
          <w:insideV w:val="single" w:color="auto" w:sz="4"/>
        </w:tblBorders>
      </w:tblPr>
      <w:tblGrid>
        <w:gridCol w:w="2400"/>
        <w:gridCol w:w="7630"/>
      </w:tblGrid>
      <w:tr>
        <w:tc>
          <w:tcPr>
            <w:tcW w:type="dxa" w:w="2400"/>
            <w:tcBorders>
              <w:top w:val="single" w:color="C9C9C0" w:sz="4"/>
              <w:left w:val="single" w:color="C9C9C0" w:sz="4"/>
              <w:bottom w:val="single" w:color="C9C9C0" w:sz="4"/>
              <w:right w:val="single" w:color="C9C9C0" w:sz="4"/>
            </w:tcBorders>
            <w:shd w:fill="F1EFE8"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sz w:val="21"/>
                <w:szCs w:val="21"/>
              </w:rPr>
              <w:t xml:space="preserve">Visit Type:</w:t>
            </w:r>
          </w:p>
        </w:tc>
        <w:tc>
          <w:tcPr>
            <w:tcW w:type="dxa" w:w="7630"/>
            <w:tcBorders>
              <w:top w:val="single" w:color="C9C9C0" w:sz="4"/>
              <w:left w:val="single" w:color="C9C9C0" w:sz="4"/>
              <w:bottom w:val="single" w:color="C9C9C0" w:sz="4"/>
              <w:right w:val="single" w:color="C9C9C0" w:sz="4"/>
            </w:tcBorders>
            <w:tcMar>
              <w:top w:type="dxa" w:w="200"/>
              <w:left w:type="dxa" w:w="120"/>
              <w:bottom w:type="dxa" w:w="200"/>
              <w:right w:type="dxa" w:w="120"/>
            </w:tcMar>
            <w:vAlign w:val="center"/>
          </w:tcPr>
          <w:p>
            <w:pPr>
              <w:spacing w:after="0"/>
            </w:pPr>
            <w:r>
              <w:rPr>
                <w:rFonts w:ascii="Calibri" w:cs="Calibri" w:eastAsia="Calibri" w:hAnsi="Calibri"/>
                <w:b/>
                <w:bCs/>
                <w:sz w:val="21"/>
                <w:szCs w:val="21"/>
              </w:rPr>
              <w:t xml:space="preserve">Annual Wellness Visit (routine preventive exam; no acute concerns reported)</w:t>
            </w:r>
          </w:p>
        </w:tc>
      </w:tr>
      <w:tr>
        <w:tc>
          <w:tcPr>
            <w:tcW w:type="dxa" w:w="2400"/>
            <w:tcBorders>
              <w:top w:val="single" w:color="C9C9C0" w:sz="4"/>
              <w:left w:val="single" w:color="C9C9C0" w:sz="4"/>
              <w:bottom w:val="single" w:color="C9C9C0" w:sz="4"/>
              <w:right w:val="single" w:color="C9C9C0" w:sz="4"/>
            </w:tcBorders>
            <w:shd w:fill="F1EFE8"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sz w:val="21"/>
                <w:szCs w:val="21"/>
              </w:rPr>
              <w:t xml:space="preserve">Capture Settings:</w:t>
            </w:r>
          </w:p>
        </w:tc>
        <w:tc>
          <w:tcPr>
            <w:tcW w:type="dxa" w:w="7630"/>
            <w:tcBorders>
              <w:top w:val="single" w:color="C9C9C0" w:sz="4"/>
              <w:left w:val="single" w:color="C9C9C0" w:sz="4"/>
              <w:bottom w:val="single" w:color="C9C9C0" w:sz="4"/>
              <w:right w:val="single" w:color="C9C9C0" w:sz="4"/>
            </w:tcBorders>
            <w:tcMar>
              <w:top w:type="dxa" w:w="200"/>
              <w:left w:type="dxa" w:w="120"/>
              <w:bottom w:type="dxa" w:w="200"/>
              <w:right w:type="dxa" w:w="120"/>
            </w:tcMar>
            <w:vAlign w:val="center"/>
          </w:tcPr>
          <w:p>
            <w:pPr>
              <w:spacing w:after="60"/>
            </w:pPr>
            <w:r>
              <w:rPr>
                <w:rFonts w:ascii="Calibri" w:cs="Calibri" w:eastAsia="Calibri" w:hAnsi="Calibri"/>
                <w:b/>
                <w:bCs/>
                <w:sz w:val="20"/>
                <w:szCs w:val="20"/>
              </w:rPr>
              <w:t xml:space="preserve">Note template: </w:t>
            </w:r>
            <w:r>
              <w:rPr>
                <w:rFonts w:ascii="Calibri" w:cs="Calibri" w:eastAsia="Calibri" w:hAnsi="Calibri"/>
                <w:sz w:val="20"/>
                <w:szCs w:val="20"/>
              </w:rPr>
              <w:t xml:space="preserve">Comprehensive preventive/wellness template with Health Maintenance (screenings, immunizations) and Preventive Counseling sections enabled.</w:t>
            </w:r>
          </w:p>
          <w:p>
            <w:pPr>
              <w:spacing w:after="60"/>
            </w:pPr>
            <w:r>
              <w:rPr>
                <w:rFonts w:ascii="Calibri" w:cs="Calibri" w:eastAsia="Calibri" w:hAnsi="Calibri"/>
                <w:b/>
                <w:bCs/>
                <w:sz w:val="20"/>
                <w:szCs w:val="20"/>
              </w:rPr>
              <w:t xml:space="preserve">ROS / exam scope: </w:t>
            </w:r>
            <w:r>
              <w:rPr>
                <w:rFonts w:ascii="Calibri" w:cs="Calibri" w:eastAsia="Calibri" w:hAnsi="Calibri"/>
                <w:sz w:val="20"/>
                <w:szCs w:val="20"/>
              </w:rPr>
              <w:t xml:space="preserve">Full multi-system ROS and complete multi-system exam.</w:t>
            </w:r>
          </w:p>
          <w:p>
            <w:pPr>
              <w:spacing w:after="60"/>
            </w:pPr>
            <w:r>
              <w:rPr>
                <w:rFonts w:ascii="Calibri" w:cs="Calibri" w:eastAsia="Calibri" w:hAnsi="Calibri"/>
                <w:b/>
                <w:bCs/>
                <w:sz w:val="20"/>
                <w:szCs w:val="20"/>
              </w:rPr>
              <w:t xml:space="preserve">Detail level: </w:t>
            </w:r>
            <w:r>
              <w:rPr>
                <w:rFonts w:ascii="Calibri" w:cs="Calibri" w:eastAsia="Calibri" w:hAnsi="Calibri"/>
                <w:sz w:val="20"/>
                <w:szCs w:val="20"/>
              </w:rPr>
              <w:t xml:space="preserve">Detailed, with an extended capture window for the longest visit of the session.</w:t>
            </w:r>
          </w:p>
          <w:p>
            <w:pPr>
              <w:spacing w:after="60"/>
            </w:pPr>
            <w:r>
              <w:rPr>
                <w:rFonts w:ascii="Calibri" w:cs="Calibri" w:eastAsia="Calibri" w:hAnsi="Calibri"/>
                <w:b/>
                <w:bCs/>
                <w:sz w:val="20"/>
                <w:szCs w:val="20"/>
              </w:rPr>
              <w:t xml:space="preserve">Pre-visit context: </w:t>
            </w:r>
            <w:r>
              <w:rPr>
                <w:rFonts w:ascii="Calibri" w:cs="Calibri" w:eastAsia="Calibri" w:hAnsi="Calibri"/>
                <w:sz w:val="20"/>
                <w:szCs w:val="20"/>
              </w:rPr>
              <w:t xml:space="preserve">Problem list, medication list, and screening/immunization history linked before the visit.</w:t>
            </w:r>
          </w:p>
          <w:p>
            <w:pPr>
              <w:spacing w:after="60"/>
            </w:pPr>
            <w:r>
              <w:rPr>
                <w:rFonts w:ascii="Calibri" w:cs="Calibri" w:eastAsia="Calibri" w:hAnsi="Calibri"/>
                <w:b/>
                <w:bCs/>
                <w:sz w:val="20"/>
                <w:szCs w:val="20"/>
              </w:rPr>
              <w:t xml:space="preserve">Section routing: </w:t>
            </w:r>
            <w:r>
              <w:rPr>
                <w:rFonts w:ascii="Calibri" w:cs="Calibri" w:eastAsia="Calibri" w:hAnsi="Calibri"/>
                <w:sz w:val="20"/>
                <w:szCs w:val="20"/>
              </w:rPr>
              <w:t xml:space="preserve">Screening orders and counseling to Health Maintenance/Plan; Chief Complaint set to routine preventive visit.</w:t>
            </w:r>
          </w:p>
        </w:tc>
      </w:tr>
      <w:tr>
        <w:tc>
          <w:tcPr>
            <w:tcW w:type="dxa" w:w="2400"/>
            <w:tcBorders>
              <w:top w:val="single" w:color="C9C9C0" w:sz="4"/>
              <w:left w:val="single" w:color="C9C9C0" w:sz="4"/>
              <w:bottom w:val="single" w:color="C9C9C0" w:sz="4"/>
              <w:right w:val="single" w:color="C9C9C0" w:sz="4"/>
            </w:tcBorders>
            <w:shd w:fill="F1EFE8"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sz w:val="21"/>
                <w:szCs w:val="21"/>
              </w:rPr>
              <w:t xml:space="preserve">Reasoning:</w:t>
            </w:r>
          </w:p>
        </w:tc>
        <w:tc>
          <w:tcPr>
            <w:tcW w:type="dxa" w:w="7630"/>
            <w:tcBorders>
              <w:top w:val="single" w:color="C9C9C0" w:sz="4"/>
              <w:left w:val="single" w:color="C9C9C0" w:sz="4"/>
              <w:bottom w:val="single" w:color="C9C9C0" w:sz="4"/>
              <w:right w:val="single" w:color="C9C9C0" w:sz="4"/>
            </w:tcBorders>
            <w:tcMar>
              <w:top w:type="dxa" w:w="200"/>
              <w:left w:type="dxa" w:w="120"/>
              <w:bottom w:type="dxa" w:w="200"/>
              <w:right w:type="dxa" w:w="120"/>
            </w:tcMar>
            <w:vAlign w:val="center"/>
          </w:tcPr>
          <w:p>
            <w:pPr>
              <w:spacing w:after="80"/>
            </w:pPr>
            <w:r>
              <w:rPr>
                <w:rFonts w:ascii="Calibri" w:cs="Calibri" w:eastAsia="Calibri" w:hAnsi="Calibri"/>
                <w:sz w:val="20"/>
                <w:szCs w:val="20"/>
              </w:rPr>
              <w:t xml:space="preserve">A wellness visit moves across many body systems and topics, and most of the conversation is pertinent negatives; a focused ROS would drop them. Screening and preventive counseling are the core deliverables of this visit type, so dedicated sections keep them from being scattered through the HPI. With no acute complaint, the Chief Complaint must reflect the preventive purpose rather than an incidental remark.</w:t>
            </w:r>
          </w:p>
          <w:p>
            <w:pPr>
              <w:spacing w:after="80"/>
            </w:pPr>
            <w:r>
              <w:rPr>
                <w:rFonts w:ascii="Calibri" w:cs="Calibri" w:eastAsia="Calibri" w:hAnsi="Calibri"/>
                <w:sz w:val="20"/>
                <w:szCs w:val="20"/>
              </w:rPr>
              <w:t xml:space="preserve">Encounter 1 was reviewed and signed earlier this session, so it is configured here but falls outside the Component 2 verification scope.</w:t>
            </w:r>
          </w:p>
        </w:tc>
      </w:tr>
    </w:tbl>
    <w:p>
      <w:pPr>
        <w:spacing w:after="100" w:before="220"/>
      </w:pPr>
      <w:r>
        <w:rPr>
          <w:rFonts w:ascii="Calibri" w:cs="Calibri" w:eastAsia="Calibri" w:hAnsi="Calibri"/>
          <w:b/>
          <w:bCs/>
          <w:color w:val="1B6FB8"/>
          <w:sz w:val="22"/>
          <w:szCs w:val="22"/>
        </w:rPr>
        <w:t xml:space="preserve">Encounter 2 — Maria Chen, 8:40 AM</w:t>
      </w:r>
    </w:p>
    <w:tbl>
      <w:tblPr>
        <w:tblW w:type="dxa" w:w="10030"/>
        <w:tblBorders>
          <w:top w:val="single" w:color="auto" w:sz="4"/>
          <w:left w:val="single" w:color="auto" w:sz="4"/>
          <w:bottom w:val="single" w:color="auto" w:sz="4"/>
          <w:right w:val="single" w:color="auto" w:sz="4"/>
          <w:insideH w:val="single" w:color="auto" w:sz="4"/>
          <w:insideV w:val="single" w:color="auto" w:sz="4"/>
        </w:tblBorders>
      </w:tblPr>
      <w:tblGrid>
        <w:gridCol w:w="2400"/>
        <w:gridCol w:w="7630"/>
      </w:tblGrid>
      <w:tr>
        <w:tc>
          <w:tcPr>
            <w:tcW w:type="dxa" w:w="2400"/>
            <w:tcBorders>
              <w:top w:val="single" w:color="C9C9C0" w:sz="4"/>
              <w:left w:val="single" w:color="C9C9C0" w:sz="4"/>
              <w:bottom w:val="single" w:color="C9C9C0" w:sz="4"/>
              <w:right w:val="single" w:color="C9C9C0" w:sz="4"/>
            </w:tcBorders>
            <w:shd w:fill="F1EFE8"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sz w:val="21"/>
                <w:szCs w:val="21"/>
              </w:rPr>
              <w:t xml:space="preserve">Visit Type:</w:t>
            </w:r>
          </w:p>
        </w:tc>
        <w:tc>
          <w:tcPr>
            <w:tcW w:type="dxa" w:w="7630"/>
            <w:tcBorders>
              <w:top w:val="single" w:color="C9C9C0" w:sz="4"/>
              <w:left w:val="single" w:color="C9C9C0" w:sz="4"/>
              <w:bottom w:val="single" w:color="C9C9C0" w:sz="4"/>
              <w:right w:val="single" w:color="C9C9C0" w:sz="4"/>
            </w:tcBorders>
            <w:tcMar>
              <w:top w:type="dxa" w:w="200"/>
              <w:left w:type="dxa" w:w="120"/>
              <w:bottom w:type="dxa" w:w="200"/>
              <w:right w:type="dxa" w:w="120"/>
            </w:tcMar>
            <w:vAlign w:val="center"/>
          </w:tcPr>
          <w:p>
            <w:pPr>
              <w:spacing w:after="0"/>
            </w:pPr>
            <w:r>
              <w:rPr>
                <w:rFonts w:ascii="Calibri" w:cs="Calibri" w:eastAsia="Calibri" w:hAnsi="Calibri"/>
                <w:b/>
                <w:bCs/>
                <w:sz w:val="21"/>
                <w:szCs w:val="21"/>
              </w:rPr>
              <w:t xml:space="preserve">Acute Care Visit (sore throat and fever for three days; rule out streptococcal pharyngitis)</w:t>
            </w:r>
          </w:p>
        </w:tc>
      </w:tr>
      <w:tr>
        <w:tc>
          <w:tcPr>
            <w:tcW w:type="dxa" w:w="2400"/>
            <w:tcBorders>
              <w:top w:val="single" w:color="C9C9C0" w:sz="4"/>
              <w:left w:val="single" w:color="C9C9C0" w:sz="4"/>
              <w:bottom w:val="single" w:color="C9C9C0" w:sz="4"/>
              <w:right w:val="single" w:color="C9C9C0" w:sz="4"/>
            </w:tcBorders>
            <w:shd w:fill="F1EFE8"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sz w:val="21"/>
                <w:szCs w:val="21"/>
              </w:rPr>
              <w:t xml:space="preserve">Capture Settings:</w:t>
            </w:r>
          </w:p>
        </w:tc>
        <w:tc>
          <w:tcPr>
            <w:tcW w:type="dxa" w:w="7630"/>
            <w:tcBorders>
              <w:top w:val="single" w:color="C9C9C0" w:sz="4"/>
              <w:left w:val="single" w:color="C9C9C0" w:sz="4"/>
              <w:bottom w:val="single" w:color="C9C9C0" w:sz="4"/>
              <w:right w:val="single" w:color="C9C9C0" w:sz="4"/>
            </w:tcBorders>
            <w:tcMar>
              <w:top w:type="dxa" w:w="200"/>
              <w:left w:type="dxa" w:w="120"/>
              <w:bottom w:type="dxa" w:w="200"/>
              <w:right w:type="dxa" w:w="120"/>
            </w:tcMar>
            <w:vAlign w:val="center"/>
          </w:tcPr>
          <w:p>
            <w:pPr>
              <w:spacing w:after="60"/>
            </w:pPr>
            <w:r>
              <w:rPr>
                <w:rFonts w:ascii="Calibri" w:cs="Calibri" w:eastAsia="Calibri" w:hAnsi="Calibri"/>
                <w:b/>
                <w:bCs/>
                <w:sz w:val="20"/>
                <w:szCs w:val="20"/>
              </w:rPr>
              <w:t xml:space="preserve">Note template: </w:t>
            </w:r>
            <w:r>
              <w:rPr>
                <w:rFonts w:ascii="Calibri" w:cs="Calibri" w:eastAsia="Calibri" w:hAnsi="Calibri"/>
                <w:sz w:val="20"/>
                <w:szCs w:val="20"/>
              </w:rPr>
              <w:t xml:space="preserve">Problem-focused acute (SOAP) template for a single problem.</w:t>
            </w:r>
          </w:p>
          <w:p>
            <w:pPr>
              <w:spacing w:after="60"/>
            </w:pPr>
            <w:r>
              <w:rPr>
                <w:rFonts w:ascii="Calibri" w:cs="Calibri" w:eastAsia="Calibri" w:hAnsi="Calibri"/>
                <w:b/>
                <w:bCs/>
                <w:sz w:val="20"/>
                <w:szCs w:val="20"/>
              </w:rPr>
              <w:t xml:space="preserve">ROS / exam scope: </w:t>
            </w:r>
            <w:r>
              <w:rPr>
                <w:rFonts w:ascii="Calibri" w:cs="Calibri" w:eastAsia="Calibri" w:hAnsi="Calibri"/>
                <w:sz w:val="20"/>
                <w:szCs w:val="20"/>
              </w:rPr>
              <w:t xml:space="preserve">Focused: constitutional, ENT, respiratory, skin, lymphatic; pertinent positives and negatives captured explicitly.</w:t>
            </w:r>
          </w:p>
          <w:p>
            <w:pPr>
              <w:spacing w:after="60"/>
            </w:pPr>
            <w:r>
              <w:rPr>
                <w:rFonts w:ascii="Calibri" w:cs="Calibri" w:eastAsia="Calibri" w:hAnsi="Calibri"/>
                <w:b/>
                <w:bCs/>
                <w:sz w:val="20"/>
                <w:szCs w:val="20"/>
              </w:rPr>
              <w:t xml:space="preserve">Detail level: </w:t>
            </w:r>
            <w:r>
              <w:rPr>
                <w:rFonts w:ascii="Calibri" w:cs="Calibri" w:eastAsia="Calibri" w:hAnsi="Calibri"/>
                <w:sz w:val="20"/>
                <w:szCs w:val="20"/>
              </w:rPr>
              <w:t xml:space="preserve">Concise.</w:t>
            </w:r>
          </w:p>
          <w:p>
            <w:pPr>
              <w:spacing w:after="60"/>
            </w:pPr>
            <w:r>
              <w:rPr>
                <w:rFonts w:ascii="Calibri" w:cs="Calibri" w:eastAsia="Calibri" w:hAnsi="Calibri"/>
                <w:b/>
                <w:bCs/>
                <w:sz w:val="20"/>
                <w:szCs w:val="20"/>
              </w:rPr>
              <w:t xml:space="preserve">HPI priorities: </w:t>
            </w:r>
            <w:r>
              <w:rPr>
                <w:rFonts w:ascii="Calibri" w:cs="Calibri" w:eastAsia="Calibri" w:hAnsi="Calibri"/>
                <w:sz w:val="20"/>
                <w:szCs w:val="20"/>
              </w:rPr>
              <w:t xml:space="preserve">Onset and duration, maximum temperature, aggravating factors, treatments tried, sick contacts/exposures.</w:t>
            </w:r>
          </w:p>
          <w:p>
            <w:pPr>
              <w:spacing w:after="60"/>
            </w:pPr>
            <w:r>
              <w:rPr>
                <w:rFonts w:ascii="Calibri" w:cs="Calibri" w:eastAsia="Calibri" w:hAnsi="Calibri"/>
                <w:b/>
                <w:bCs/>
                <w:sz w:val="20"/>
                <w:szCs w:val="20"/>
              </w:rPr>
              <w:t xml:space="preserve">Section routing: </w:t>
            </w:r>
            <w:r>
              <w:rPr>
                <w:rFonts w:ascii="Calibri" w:cs="Calibri" w:eastAsia="Calibri" w:hAnsi="Calibri"/>
                <w:sz w:val="20"/>
                <w:szCs w:val="20"/>
              </w:rPr>
              <w:t xml:space="preserve">Point-of-care test orders, conditional (if positive / if negative) treatment branches, and patient counseling to Plan.</w:t>
            </w:r>
          </w:p>
        </w:tc>
      </w:tr>
      <w:tr>
        <w:tc>
          <w:tcPr>
            <w:tcW w:type="dxa" w:w="2400"/>
            <w:tcBorders>
              <w:top w:val="single" w:color="C9C9C0" w:sz="4"/>
              <w:left w:val="single" w:color="C9C9C0" w:sz="4"/>
              <w:bottom w:val="single" w:color="C9C9C0" w:sz="4"/>
              <w:right w:val="single" w:color="C9C9C0" w:sz="4"/>
            </w:tcBorders>
            <w:shd w:fill="F1EFE8"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sz w:val="21"/>
                <w:szCs w:val="21"/>
              </w:rPr>
              <w:t xml:space="preserve">Reasoning:</w:t>
            </w:r>
          </w:p>
        </w:tc>
        <w:tc>
          <w:tcPr>
            <w:tcW w:type="dxa" w:w="7630"/>
            <w:tcBorders>
              <w:top w:val="single" w:color="C9C9C0" w:sz="4"/>
              <w:left w:val="single" w:color="C9C9C0" w:sz="4"/>
              <w:bottom w:val="single" w:color="C9C9C0" w:sz="4"/>
              <w:right w:val="single" w:color="C9C9C0" w:sz="4"/>
            </w:tcBorders>
            <w:tcMar>
              <w:top w:type="dxa" w:w="200"/>
              <w:left w:type="dxa" w:w="120"/>
              <w:bottom w:type="dxa" w:w="200"/>
              <w:right w:type="dxa" w:w="120"/>
            </w:tcMar>
            <w:vAlign w:val="center"/>
          </w:tcPr>
          <w:p>
            <w:pPr>
              <w:spacing w:after="80"/>
            </w:pPr>
            <w:r>
              <w:rPr>
                <w:rFonts w:ascii="Calibri" w:cs="Calibri" w:eastAsia="Calibri" w:hAnsi="Calibri"/>
                <w:sz w:val="20"/>
                <w:szCs w:val="20"/>
              </w:rPr>
              <w:t xml:space="preserve">An acute visit is short and narrow, and the diagnosis turns on a few pertinent findings (fever, tonsillar exudate, tender cervical nodes, absence of cough), so each must be captured with the correct positive/negative status. Exposure history raises the pre-test probability of strep and must be prompted for in the HPI. The same-day rapid test creates a branching plan that must be recorded exactly, and counseling given at the end of a brief visit is easily misrouted.</w:t>
            </w:r>
          </w:p>
          <w:p>
            <w:pPr>
              <w:spacing w:after="80"/>
            </w:pPr>
            <w:r>
              <w:rPr>
                <w:rFonts w:ascii="Calibri" w:cs="Calibri" w:eastAsia="Calibri" w:hAnsi="Calibri"/>
                <w:sz w:val="20"/>
                <w:szCs w:val="20"/>
              </w:rPr>
              <w:t xml:space="preserve">Verification focus carried into Component 2: positive/negative status of findings, exposure history, plan branches and counseling placement.</w:t>
            </w:r>
          </w:p>
        </w:tc>
      </w:tr>
    </w:tbl>
    <w:p>
      <w:pPr>
        <w:spacing w:after="100" w:before="220"/>
      </w:pPr>
      <w:r>
        <w:rPr>
          <w:rFonts w:ascii="Calibri" w:cs="Calibri" w:eastAsia="Calibri" w:hAnsi="Calibri"/>
          <w:b/>
          <w:bCs/>
          <w:color w:val="1B6FB8"/>
          <w:sz w:val="22"/>
          <w:szCs w:val="22"/>
        </w:rPr>
        <w:t xml:space="preserve">Encounter 3 — James Okafor, 9:20 AM</w:t>
      </w:r>
    </w:p>
    <w:tbl>
      <w:tblPr>
        <w:tblW w:type="dxa" w:w="10030"/>
        <w:tblBorders>
          <w:top w:val="single" w:color="auto" w:sz="4"/>
          <w:left w:val="single" w:color="auto" w:sz="4"/>
          <w:bottom w:val="single" w:color="auto" w:sz="4"/>
          <w:right w:val="single" w:color="auto" w:sz="4"/>
          <w:insideH w:val="single" w:color="auto" w:sz="4"/>
          <w:insideV w:val="single" w:color="auto" w:sz="4"/>
        </w:tblBorders>
      </w:tblPr>
      <w:tblGrid>
        <w:gridCol w:w="2400"/>
        <w:gridCol w:w="7630"/>
      </w:tblGrid>
      <w:tr>
        <w:tc>
          <w:tcPr>
            <w:tcW w:type="dxa" w:w="2400"/>
            <w:tcBorders>
              <w:top w:val="single" w:color="C9C9C0" w:sz="4"/>
              <w:left w:val="single" w:color="C9C9C0" w:sz="4"/>
              <w:bottom w:val="single" w:color="C9C9C0" w:sz="4"/>
              <w:right w:val="single" w:color="C9C9C0" w:sz="4"/>
            </w:tcBorders>
            <w:shd w:fill="F1EFE8"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sz w:val="21"/>
                <w:szCs w:val="21"/>
              </w:rPr>
              <w:t xml:space="preserve">Visit Type:</w:t>
            </w:r>
          </w:p>
        </w:tc>
        <w:tc>
          <w:tcPr>
            <w:tcW w:type="dxa" w:w="7630"/>
            <w:tcBorders>
              <w:top w:val="single" w:color="C9C9C0" w:sz="4"/>
              <w:left w:val="single" w:color="C9C9C0" w:sz="4"/>
              <w:bottom w:val="single" w:color="C9C9C0" w:sz="4"/>
              <w:right w:val="single" w:color="C9C9C0" w:sz="4"/>
            </w:tcBorders>
            <w:tcMar>
              <w:top w:type="dxa" w:w="200"/>
              <w:left w:type="dxa" w:w="120"/>
              <w:bottom w:type="dxa" w:w="200"/>
              <w:right w:type="dxa" w:w="120"/>
            </w:tcMar>
            <w:vAlign w:val="center"/>
          </w:tcPr>
          <w:p>
            <w:pPr>
              <w:spacing w:after="0"/>
            </w:pPr>
            <w:r>
              <w:rPr>
                <w:rFonts w:ascii="Calibri" w:cs="Calibri" w:eastAsia="Calibri" w:hAnsi="Calibri"/>
                <w:b/>
                <w:bCs/>
                <w:sz w:val="21"/>
                <w:szCs w:val="21"/>
              </w:rPr>
              <w:t xml:space="preserve">Follow-up Consultation (three-month reassessment of type 2 diabetes and hypertension)</w:t>
            </w:r>
          </w:p>
        </w:tc>
      </w:tr>
      <w:tr>
        <w:tc>
          <w:tcPr>
            <w:tcW w:type="dxa" w:w="2400"/>
            <w:tcBorders>
              <w:top w:val="single" w:color="C9C9C0" w:sz="4"/>
              <w:left w:val="single" w:color="C9C9C0" w:sz="4"/>
              <w:bottom w:val="single" w:color="C9C9C0" w:sz="4"/>
              <w:right w:val="single" w:color="C9C9C0" w:sz="4"/>
            </w:tcBorders>
            <w:shd w:fill="F1EFE8"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sz w:val="21"/>
                <w:szCs w:val="21"/>
              </w:rPr>
              <w:t xml:space="preserve">Capture Settings:</w:t>
            </w:r>
          </w:p>
        </w:tc>
        <w:tc>
          <w:tcPr>
            <w:tcW w:type="dxa" w:w="7630"/>
            <w:tcBorders>
              <w:top w:val="single" w:color="C9C9C0" w:sz="4"/>
              <w:left w:val="single" w:color="C9C9C0" w:sz="4"/>
              <w:bottom w:val="single" w:color="C9C9C0" w:sz="4"/>
              <w:right w:val="single" w:color="C9C9C0" w:sz="4"/>
            </w:tcBorders>
            <w:tcMar>
              <w:top w:type="dxa" w:w="200"/>
              <w:left w:type="dxa" w:w="120"/>
              <w:bottom w:type="dxa" w:w="200"/>
              <w:right w:type="dxa" w:w="120"/>
            </w:tcMar>
            <w:vAlign w:val="center"/>
          </w:tcPr>
          <w:p>
            <w:pPr>
              <w:spacing w:after="60"/>
            </w:pPr>
            <w:r>
              <w:rPr>
                <w:rFonts w:ascii="Calibri" w:cs="Calibri" w:eastAsia="Calibri" w:hAnsi="Calibri"/>
                <w:b/>
                <w:bCs/>
                <w:sz w:val="20"/>
                <w:szCs w:val="20"/>
              </w:rPr>
              <w:t xml:space="preserve">Note template: </w:t>
            </w:r>
            <w:r>
              <w:rPr>
                <w:rFonts w:ascii="Calibri" w:cs="Calibri" w:eastAsia="Calibri" w:hAnsi="Calibri"/>
                <w:sz w:val="20"/>
                <w:szCs w:val="20"/>
              </w:rPr>
              <w:t xml:space="preserve">Chronic-care follow-up template with problem-based Assessment and Plan (one entry per problem).</w:t>
            </w:r>
          </w:p>
          <w:p>
            <w:pPr>
              <w:spacing w:after="60"/>
            </w:pPr>
            <w:r>
              <w:rPr>
                <w:rFonts w:ascii="Calibri" w:cs="Calibri" w:eastAsia="Calibri" w:hAnsi="Calibri"/>
                <w:b/>
                <w:bCs/>
                <w:sz w:val="20"/>
                <w:szCs w:val="20"/>
              </w:rPr>
              <w:t xml:space="preserve">Pre-visit context: </w:t>
            </w:r>
            <w:r>
              <w:rPr>
                <w:rFonts w:ascii="Calibri" w:cs="Calibri" w:eastAsia="Calibri" w:hAnsi="Calibri"/>
                <w:sz w:val="20"/>
                <w:szCs w:val="20"/>
              </w:rPr>
              <w:t xml:space="preserve">Prior plan, most recent HbA1c and metabolic panel, and current medication list linked before the visit.</w:t>
            </w:r>
          </w:p>
          <w:p>
            <w:pPr>
              <w:spacing w:after="60"/>
            </w:pPr>
            <w:r>
              <w:rPr>
                <w:rFonts w:ascii="Calibri" w:cs="Calibri" w:eastAsia="Calibri" w:hAnsi="Calibri"/>
                <w:b/>
                <w:bCs/>
                <w:sz w:val="20"/>
                <w:szCs w:val="20"/>
              </w:rPr>
              <w:t xml:space="preserve">HPI priorities: </w:t>
            </w:r>
            <w:r>
              <w:rPr>
                <w:rFonts w:ascii="Calibri" w:cs="Calibri" w:eastAsia="Calibri" w:hAnsi="Calibri"/>
                <w:sz w:val="20"/>
                <w:szCs w:val="20"/>
              </w:rPr>
              <w:t xml:space="preserve">Home glucose and blood pressure readings recorded verbatim, medication adherence, new interval symptoms.</w:t>
            </w:r>
          </w:p>
          <w:p>
            <w:pPr>
              <w:spacing w:after="60"/>
            </w:pPr>
            <w:r>
              <w:rPr>
                <w:rFonts w:ascii="Calibri" w:cs="Calibri" w:eastAsia="Calibri" w:hAnsi="Calibri"/>
                <w:b/>
                <w:bCs/>
                <w:sz w:val="20"/>
                <w:szCs w:val="20"/>
              </w:rPr>
              <w:t xml:space="preserve">Exam scope: </w:t>
            </w:r>
            <w:r>
              <w:rPr>
                <w:rFonts w:ascii="Calibri" w:cs="Calibri" w:eastAsia="Calibri" w:hAnsi="Calibri"/>
                <w:sz w:val="20"/>
                <w:szCs w:val="20"/>
              </w:rPr>
              <w:t xml:space="preserve">Targeted vitals and BMI plus diabetic foot exam captured as discrete elements (monofilament, skin integrity, pedal pulses).</w:t>
            </w:r>
          </w:p>
          <w:p>
            <w:pPr>
              <w:spacing w:after="60"/>
            </w:pPr>
            <w:r>
              <w:rPr>
                <w:rFonts w:ascii="Calibri" w:cs="Calibri" w:eastAsia="Calibri" w:hAnsi="Calibri"/>
                <w:b/>
                <w:bCs/>
                <w:sz w:val="20"/>
                <w:szCs w:val="20"/>
              </w:rPr>
              <w:t xml:space="preserve">Section routing: </w:t>
            </w:r>
            <w:r>
              <w:rPr>
                <w:rFonts w:ascii="Calibri" w:cs="Calibri" w:eastAsia="Calibri" w:hAnsi="Calibri"/>
                <w:sz w:val="20"/>
                <w:szCs w:val="20"/>
              </w:rPr>
              <w:t xml:space="preserve">Assessment limited to diagnoses and status; orders, referrals, and education to Plan.</w:t>
            </w:r>
          </w:p>
        </w:tc>
      </w:tr>
      <w:tr>
        <w:tc>
          <w:tcPr>
            <w:tcW w:type="dxa" w:w="2400"/>
            <w:tcBorders>
              <w:top w:val="single" w:color="C9C9C0" w:sz="4"/>
              <w:left w:val="single" w:color="C9C9C0" w:sz="4"/>
              <w:bottom w:val="single" w:color="C9C9C0" w:sz="4"/>
              <w:right w:val="single" w:color="C9C9C0" w:sz="4"/>
            </w:tcBorders>
            <w:shd w:fill="F1EFE8"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sz w:val="21"/>
                <w:szCs w:val="21"/>
              </w:rPr>
              <w:t xml:space="preserve">Reasoning:</w:t>
            </w:r>
          </w:p>
        </w:tc>
        <w:tc>
          <w:tcPr>
            <w:tcW w:type="dxa" w:w="7630"/>
            <w:tcBorders>
              <w:top w:val="single" w:color="C9C9C0" w:sz="4"/>
              <w:left w:val="single" w:color="C9C9C0" w:sz="4"/>
              <w:bottom w:val="single" w:color="C9C9C0" w:sz="4"/>
              <w:right w:val="single" w:color="C9C9C0" w:sz="4"/>
            </w:tcBorders>
            <w:tcMar>
              <w:top w:type="dxa" w:w="200"/>
              <w:left w:type="dxa" w:w="120"/>
              <w:bottom w:type="dxa" w:w="200"/>
              <w:right w:type="dxa" w:w="120"/>
            </w:tcMar>
            <w:vAlign w:val="center"/>
          </w:tcPr>
          <w:p>
            <w:pPr>
              <w:spacing w:after="80"/>
            </w:pPr>
            <w:r>
              <w:rPr>
                <w:rFonts w:ascii="Calibri" w:cs="Calibri" w:eastAsia="Calibri" w:hAnsi="Calibri"/>
                <w:sz w:val="20"/>
                <w:szCs w:val="20"/>
              </w:rPr>
              <w:t xml:space="preserve">A follow-up visit is measured against prior data, so home readings and doses must be transcribed exactly and compared with the last plan. The most important content is often a new symptom mentioned briefly among routine reporting, so new-symptom capture is prioritized. Foot-exam elements are discrete normal/abnormal findings with different implications (intact pulses point to neuropathy rather than vascular disease). With several problems discussed, problem-based Assessment and Plan with strict routing keeps orders and referrals out of the Assessment.</w:t>
            </w:r>
          </w:p>
          <w:p>
            <w:pPr>
              <w:spacing w:after="80"/>
            </w:pPr>
            <w:r>
              <w:rPr>
                <w:rFonts w:ascii="Calibri" w:cs="Calibri" w:eastAsia="Calibri" w:hAnsi="Calibri"/>
                <w:sz w:val="20"/>
                <w:szCs w:val="20"/>
              </w:rPr>
              <w:t xml:space="preserve">Verification focus carried into Component 2: verbatim home values, new interval symptoms, discrete foot-exam findings, routing of orders and referrals to Plan.</w:t>
            </w:r>
          </w:p>
        </w:tc>
      </w:tr>
    </w:tbl>
    <w:p>
      <w:pPr>
        <w:shd w:fill="DCEAF6" w:color="auto" w:val="clear"/>
        <w:spacing w:after="140" w:before="320"/>
      </w:pPr>
      <w:r>
        <w:rPr>
          <w:rFonts w:ascii="Calibri" w:cs="Calibri" w:eastAsia="Calibri" w:hAnsi="Calibri"/>
          <w:b/>
          <w:bCs/>
          <w:color w:val="1B3A5C"/>
          <w:sz w:val="24"/>
          <w:szCs w:val="24"/>
        </w:rPr>
        <w:t xml:space="preserve">  Component 2: Section-Level Verification Reviews</w:t>
      </w:r>
    </w:p>
    <w:p>
      <w:pPr>
        <w:spacing w:after="160"/>
      </w:pPr>
      <w:r>
        <w:rPr>
          <w:rFonts w:ascii="Calibri" w:cs="Calibri" w:eastAsia="Calibri" w:hAnsi="Calibri"/>
          <w:i/>
          <w:iCs/>
          <w:color w:val="5B6169"/>
          <w:sz w:val="21"/>
          <w:szCs w:val="21"/>
        </w:rPr>
        <w:t xml:space="preserve">Review each section of both draft notes against its source conversation summary. Record every discrepancy as a separate row and classify it as Omission, Inaccuracy, Addition, or Structural Deviation.</w:t>
      </w:r>
    </w:p>
    <w:p>
      <w:pPr>
        <w:spacing w:after="80"/>
      </w:pPr>
      <w:r>
        <w:rPr>
          <w:rFonts w:ascii="Calibri" w:cs="Calibri" w:eastAsia="Calibri" w:hAnsi="Calibri"/>
          <w:b/>
          <w:bCs/>
          <w:color w:val="1B3A5C"/>
          <w:sz w:val="20"/>
          <w:szCs w:val="20"/>
        </w:rPr>
        <w:t xml:space="preserve">Scope and method: </w:t>
      </w:r>
      <w:r>
        <w:rPr>
          <w:rFonts w:ascii="Calibri" w:cs="Calibri" w:eastAsia="Calibri" w:hAnsi="Calibri"/>
          <w:sz w:val="20"/>
          <w:szCs w:val="20"/>
        </w:rPr>
        <w:t xml:space="preserve">Encounters 2 and 3 (Encounter 1 was signed earlier and is excluded). Each draft section was compared, in note order, with the matching source items, then every source item was traced to a note section to detect omissions. The Component 1 focus checks were applied to each note.</w:t>
      </w:r>
    </w:p>
    <w:p>
      <w:pPr>
        <w:spacing w:after="80"/>
      </w:pPr>
      <w:r>
        <w:rPr>
          <w:rFonts w:ascii="Calibri" w:cs="Calibri" w:eastAsia="Calibri" w:hAnsi="Calibri"/>
          <w:b/>
          <w:bCs/>
          <w:color w:val="1B3A5C"/>
          <w:sz w:val="20"/>
          <w:szCs w:val="20"/>
        </w:rPr>
        <w:t xml:space="preserve">Classification rule: </w:t>
      </w:r>
      <w:r>
        <w:rPr>
          <w:rFonts w:ascii="Calibri" w:cs="Calibri" w:eastAsia="Calibri" w:hAnsi="Calibri"/>
          <w:sz w:val="20"/>
          <w:szCs w:val="20"/>
        </w:rPr>
        <w:t xml:space="preserve">Omission = source item absent from the note. Inaccuracy = a source item recorded with a changed value or status. Addition = a finding or statement the encounter does not support, including invented findings with their own descriptors where the source recorded none. Structural deviation = content placed in the wrong section. Severity (High/Moderate/Low) reflects potential clinical impact. “Linked” entries are downstream effects of another entry and are counted once in Component 3.</w:t>
      </w:r>
    </w:p>
    <w:p>
      <w:pPr>
        <w:spacing w:after="100" w:before="220"/>
      </w:pPr>
      <w:r>
        <w:rPr>
          <w:rFonts w:ascii="Calibri" w:cs="Calibri" w:eastAsia="Calibri" w:hAnsi="Calibri"/>
          <w:b/>
          <w:bCs/>
          <w:color w:val="1B6FB8"/>
          <w:sz w:val="22"/>
          <w:szCs w:val="22"/>
        </w:rPr>
        <w:t xml:space="preserve">Encounter 2 — Verification Review (Maria Chen, Acute Care Visit)</w:t>
      </w:r>
    </w:p>
    <w:tbl>
      <w:tblPr>
        <w:tblW w:type="dxa" w:w="10030"/>
        <w:tblBorders>
          <w:top w:val="single" w:color="auto" w:sz="4"/>
          <w:left w:val="single" w:color="auto" w:sz="4"/>
          <w:bottom w:val="single" w:color="auto" w:sz="4"/>
          <w:right w:val="single" w:color="auto" w:sz="4"/>
          <w:insideH w:val="single" w:color="auto" w:sz="4"/>
          <w:insideV w:val="single" w:color="auto" w:sz="4"/>
        </w:tblBorders>
      </w:tblPr>
      <w:tblGrid>
        <w:gridCol w:w="1500"/>
        <w:gridCol w:w="1350"/>
        <w:gridCol w:w="2850"/>
        <w:gridCol w:w="1450"/>
        <w:gridCol w:w="2880"/>
      </w:tblGrid>
      <w:tr>
        <w:trPr>
          <w:tblHeader/>
        </w:trPr>
        <w:tc>
          <w:tcPr>
            <w:tcW w:type="dxa" w:w="1500"/>
            <w:tcBorders>
              <w:top w:val="single" w:color="C9C9C0" w:sz="4"/>
              <w:left w:val="single" w:color="C9C9C0" w:sz="4"/>
              <w:bottom w:val="single" w:color="C9C9C0" w:sz="4"/>
              <w:right w:val="single" w:color="C9C9C0" w:sz="4"/>
            </w:tcBorders>
            <w:shd w:fill="1B3A5C"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Section</w:t>
            </w:r>
          </w:p>
        </w:tc>
        <w:tc>
          <w:tcPr>
            <w:tcW w:type="dxa" w:w="1350"/>
            <w:tcBorders>
              <w:top w:val="single" w:color="C9C9C0" w:sz="4"/>
              <w:left w:val="single" w:color="C9C9C0" w:sz="4"/>
              <w:bottom w:val="single" w:color="C9C9C0" w:sz="4"/>
              <w:right w:val="single" w:color="C9C9C0" w:sz="4"/>
            </w:tcBorders>
            <w:shd w:fill="1B3A5C"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Status</w:t>
            </w:r>
          </w:p>
        </w:tc>
        <w:tc>
          <w:tcPr>
            <w:tcW w:type="dxa" w:w="2850"/>
            <w:tcBorders>
              <w:top w:val="single" w:color="C9C9C0" w:sz="4"/>
              <w:left w:val="single" w:color="C9C9C0" w:sz="4"/>
              <w:bottom w:val="single" w:color="C9C9C0" w:sz="4"/>
              <w:right w:val="single" w:color="C9C9C0" w:sz="4"/>
            </w:tcBorders>
            <w:shd w:fill="1B3A5C"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Discrepancy (if present)</w:t>
            </w:r>
          </w:p>
        </w:tc>
        <w:tc>
          <w:tcPr>
            <w:tcW w:type="dxa" w:w="1450"/>
            <w:tcBorders>
              <w:top w:val="single" w:color="C9C9C0" w:sz="4"/>
              <w:left w:val="single" w:color="C9C9C0" w:sz="4"/>
              <w:bottom w:val="single" w:color="C9C9C0" w:sz="4"/>
              <w:right w:val="single" w:color="C9C9C0" w:sz="4"/>
            </w:tcBorders>
            <w:shd w:fill="1B3A5C"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Classification</w:t>
            </w:r>
          </w:p>
        </w:tc>
        <w:tc>
          <w:tcPr>
            <w:tcW w:type="dxa" w:w="2880"/>
            <w:tcBorders>
              <w:top w:val="single" w:color="C9C9C0" w:sz="4"/>
              <w:left w:val="single" w:color="C9C9C0" w:sz="4"/>
              <w:bottom w:val="single" w:color="C9C9C0" w:sz="4"/>
              <w:right w:val="single" w:color="C9C9C0" w:sz="4"/>
            </w:tcBorders>
            <w:shd w:fill="1B3A5C"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Correction Recommended</w:t>
            </w:r>
          </w:p>
        </w:tc>
      </w:tr>
      <w:tr>
        <w:trPr>
          <w:cantSplit/>
        </w:trPr>
        <w:tc>
          <w:tcPr>
            <w:tcW w:type="dxa" w:w="1500"/>
            <w:vMerge w:val="restart"/>
            <w:tcBorders>
              <w:top w:val="single" w:color="C9C9C0" w:sz="4"/>
              <w:left w:val="single" w:color="C9C9C0" w:sz="4"/>
              <w:bottom w:val="single" w:color="C9C9C0" w:sz="4"/>
              <w:right w:val="single" w:color="C9C9C0" w:sz="4"/>
            </w:tcBorders>
            <w:tcMar>
              <w:top w:type="dxa" w:w="80"/>
              <w:left w:type="dxa" w:w="120"/>
              <w:bottom w:type="dxa" w:w="80"/>
              <w:right w:type="dxa" w:w="120"/>
            </w:tcMar>
            <w:vAlign w:val="top"/>
          </w:tcPr>
          <w:p>
            <w:pPr>
              <w:spacing w:after="0"/>
            </w:pPr>
            <w:r>
              <w:rPr>
                <w:rFonts w:ascii="Calibri" w:cs="Calibri" w:eastAsia="Calibri" w:hAnsi="Calibri"/>
                <w:b/>
                <w:bCs/>
                <w:sz w:val="18"/>
                <w:szCs w:val="18"/>
              </w:rPr>
              <w:t xml:space="preserve">Chief Complaint</w:t>
            </w:r>
          </w:p>
        </w:tc>
        <w:tc>
          <w:tcPr>
            <w:tcW w:type="dxa" w:w="135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b/>
                <w:bCs/>
                <w:color w:val="2E7D32"/>
                <w:sz w:val="18"/>
                <w:szCs w:val="18"/>
              </w:rPr>
              <w:t xml:space="preserve">Verified</w:t>
            </w:r>
          </w:p>
        </w:tc>
        <w:tc>
          <w:tcPr>
            <w:tcW w:type="dxa" w:w="285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sz w:val="18"/>
                <w:szCs w:val="18"/>
              </w:rPr>
              <w:t xml:space="preserve">None. Matches source (sore throat and fever for three days).</w:t>
            </w:r>
          </w:p>
        </w:tc>
        <w:tc>
          <w:tcPr>
            <w:tcW w:type="dxa" w:w="145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sz w:val="18"/>
                <w:szCs w:val="18"/>
              </w:rPr>
              <w:t xml:space="preserve">—</w:t>
            </w:r>
          </w:p>
        </w:tc>
        <w:tc>
          <w:tcPr>
            <w:tcW w:type="dxa" w:w="288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sz w:val="18"/>
                <w:szCs w:val="18"/>
              </w:rPr>
              <w:t xml:space="preserve">None.</w:t>
            </w:r>
          </w:p>
        </w:tc>
      </w:tr>
      <w:tr>
        <w:trPr>
          <w:cantSplit/>
        </w:trPr>
        <w:tc>
          <w:tcPr>
            <w:tcW w:type="dxa" w:w="1500"/>
            <w:vMerge w:val="restart"/>
            <w:tcBorders>
              <w:top w:val="single" w:color="C9C9C0" w:sz="4"/>
              <w:left w:val="single" w:color="C9C9C0" w:sz="4"/>
              <w:bottom w:val="single" w:color="C9C9C0" w:sz="4"/>
              <w:right w:val="single" w:color="C9C9C0" w:sz="4"/>
            </w:tcBorders>
            <w:tcMar>
              <w:top w:type="dxa" w:w="80"/>
              <w:left w:type="dxa" w:w="120"/>
              <w:bottom w:type="dxa" w:w="80"/>
              <w:right w:type="dxa" w:w="120"/>
            </w:tcMar>
            <w:vAlign w:val="top"/>
          </w:tcPr>
          <w:p>
            <w:pPr>
              <w:spacing w:after="0"/>
            </w:pPr>
            <w:r>
              <w:rPr>
                <w:rFonts w:ascii="Calibri" w:cs="Calibri" w:eastAsia="Calibri" w:hAnsi="Calibri"/>
                <w:b/>
                <w:bCs/>
                <w:sz w:val="18"/>
                <w:szCs w:val="18"/>
              </w:rPr>
              <w:t xml:space="preserve">History of Present Illness</w:t>
            </w:r>
          </w:p>
        </w:tc>
        <w:tc>
          <w:tcPr>
            <w:tcW w:type="dxa" w:w="135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b/>
                <w:bCs/>
                <w:color w:val="A4262C"/>
                <w:sz w:val="18"/>
                <w:szCs w:val="18"/>
              </w:rPr>
              <w:t xml:space="preserve">Discrepancy (Moderate)</w:t>
            </w:r>
          </w:p>
        </w:tc>
        <w:tc>
          <w:tcPr>
            <w:tcW w:type="dxa" w:w="285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sz w:val="18"/>
                <w:szCs w:val="18"/>
              </w:rPr>
              <w:t xml:space="preserve">E2-1: Household exposure omitted. Source: son diagnosed with strep throat last week; possible exposure.</w:t>
            </w:r>
          </w:p>
        </w:tc>
        <w:tc>
          <w:tcPr>
            <w:tcW w:type="dxa" w:w="145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b/>
                <w:bCs/>
                <w:sz w:val="18"/>
                <w:szCs w:val="18"/>
              </w:rPr>
              <w:t xml:space="preserve">Omission</w:t>
            </w:r>
          </w:p>
        </w:tc>
        <w:tc>
          <w:tcPr>
            <w:tcW w:type="dxa" w:w="288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sz w:val="18"/>
                <w:szCs w:val="18"/>
              </w:rPr>
              <w:t xml:space="preserve">Add: “Son diagnosed with streptococcal pharyngitis last week; possible household exposure.”</w:t>
            </w:r>
          </w:p>
        </w:tc>
      </w:tr>
      <w:tr>
        <w:trPr>
          <w:cantSplit/>
        </w:trPr>
        <w:tc>
          <w:tcPr>
            <w:tcW w:type="dxa" w:w="1500"/>
            <w:vMerge/>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p>
        </w:tc>
        <w:tc>
          <w:tcPr>
            <w:tcW w:type="dxa" w:w="135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b/>
                <w:bCs/>
                <w:color w:val="A4262C"/>
                <w:sz w:val="18"/>
                <w:szCs w:val="18"/>
              </w:rPr>
              <w:t xml:space="preserve">Discrepancy (Low)</w:t>
            </w:r>
          </w:p>
        </w:tc>
        <w:tc>
          <w:tcPr>
            <w:tcW w:type="dxa" w:w="285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sz w:val="18"/>
                <w:szCs w:val="18"/>
              </w:rPr>
              <w:t xml:space="preserve">E2-2: “Recommend rest, fluids, and analgesics as needed for symptom control” is plan content placed in the HPI.</w:t>
            </w:r>
          </w:p>
        </w:tc>
        <w:tc>
          <w:tcPr>
            <w:tcW w:type="dxa" w:w="145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b/>
                <w:bCs/>
                <w:sz w:val="18"/>
                <w:szCs w:val="18"/>
              </w:rPr>
              <w:t xml:space="preserve">Structural Deviation</w:t>
            </w:r>
          </w:p>
        </w:tc>
        <w:tc>
          <w:tcPr>
            <w:tcW w:type="dxa" w:w="288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sz w:val="18"/>
                <w:szCs w:val="18"/>
              </w:rPr>
              <w:t xml:space="preserve">Delete from HPI and relocate to Plan (see E2-7).</w:t>
            </w:r>
          </w:p>
        </w:tc>
      </w:tr>
      <w:tr>
        <w:trPr>
          <w:cantSplit/>
        </w:trPr>
        <w:tc>
          <w:tcPr>
            <w:tcW w:type="dxa" w:w="1500"/>
            <w:vMerge w:val="restart"/>
            <w:tcBorders>
              <w:top w:val="single" w:color="C9C9C0" w:sz="4"/>
              <w:left w:val="single" w:color="C9C9C0" w:sz="4"/>
              <w:bottom w:val="single" w:color="C9C9C0" w:sz="4"/>
              <w:right w:val="single" w:color="C9C9C0" w:sz="4"/>
            </w:tcBorders>
            <w:tcMar>
              <w:top w:type="dxa" w:w="80"/>
              <w:left w:type="dxa" w:w="120"/>
              <w:bottom w:type="dxa" w:w="80"/>
              <w:right w:type="dxa" w:w="120"/>
            </w:tcMar>
            <w:vAlign w:val="top"/>
          </w:tcPr>
          <w:p>
            <w:pPr>
              <w:spacing w:after="0"/>
            </w:pPr>
            <w:r>
              <w:rPr>
                <w:rFonts w:ascii="Calibri" w:cs="Calibri" w:eastAsia="Calibri" w:hAnsi="Calibri"/>
                <w:b/>
                <w:bCs/>
                <w:sz w:val="18"/>
                <w:szCs w:val="18"/>
              </w:rPr>
              <w:t xml:space="preserve">Review of Systems</w:t>
            </w:r>
          </w:p>
        </w:tc>
        <w:tc>
          <w:tcPr>
            <w:tcW w:type="dxa" w:w="135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b/>
                <w:bCs/>
                <w:color w:val="A4262C"/>
                <w:sz w:val="18"/>
                <w:szCs w:val="18"/>
              </w:rPr>
              <w:t xml:space="preserve">Discrepancy (High)</w:t>
            </w:r>
          </w:p>
        </w:tc>
        <w:tc>
          <w:tcPr>
            <w:tcW w:type="dxa" w:w="285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sz w:val="18"/>
                <w:szCs w:val="18"/>
              </w:rPr>
              <w:t xml:space="preserve">E2-3: Cough listed as positive. Source: patient denies cough. Also contradicts the note’s own HPI.</w:t>
            </w:r>
          </w:p>
        </w:tc>
        <w:tc>
          <w:tcPr>
            <w:tcW w:type="dxa" w:w="145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b/>
                <w:bCs/>
                <w:sz w:val="18"/>
                <w:szCs w:val="18"/>
              </w:rPr>
              <w:t xml:space="preserve">Inaccuracy</w:t>
            </w:r>
          </w:p>
        </w:tc>
        <w:tc>
          <w:tcPr>
            <w:tcW w:type="dxa" w:w="288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sz w:val="18"/>
                <w:szCs w:val="18"/>
              </w:rPr>
              <w:t xml:space="preserve">Move cough to negatives: “Negative for cough and congestion.”</w:t>
            </w:r>
          </w:p>
        </w:tc>
      </w:tr>
      <w:tr>
        <w:trPr>
          <w:cantSplit/>
        </w:trPr>
        <w:tc>
          <w:tcPr>
            <w:tcW w:type="dxa" w:w="1500"/>
            <w:vMerge/>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p>
        </w:tc>
        <w:tc>
          <w:tcPr>
            <w:tcW w:type="dxa" w:w="135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b/>
                <w:bCs/>
                <w:color w:val="A4262C"/>
                <w:sz w:val="18"/>
                <w:szCs w:val="18"/>
              </w:rPr>
              <w:t xml:space="preserve">Discrepancy (Low)</w:t>
            </w:r>
          </w:p>
        </w:tc>
        <w:tc>
          <w:tcPr>
            <w:tcW w:type="dxa" w:w="285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sz w:val="18"/>
                <w:szCs w:val="18"/>
              </w:rPr>
              <w:t xml:space="preserve">E2-4: “Negative for rash.” Source records absence of rash only as an exam observation, not as a patient-reported symptom.</w:t>
            </w:r>
          </w:p>
        </w:tc>
        <w:tc>
          <w:tcPr>
            <w:tcW w:type="dxa" w:w="145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b/>
                <w:bCs/>
                <w:sz w:val="18"/>
                <w:szCs w:val="18"/>
              </w:rPr>
              <w:t xml:space="preserve">Structural Deviation</w:t>
            </w:r>
          </w:p>
        </w:tc>
        <w:tc>
          <w:tcPr>
            <w:tcW w:type="dxa" w:w="288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sz w:val="18"/>
                <w:szCs w:val="18"/>
              </w:rPr>
              <w:t xml:space="preserve">Provider to confirm whether rash was asked about; if not, remove from ROS and document “No rash” under Physical Examination.</w:t>
            </w:r>
          </w:p>
        </w:tc>
      </w:tr>
      <w:tr>
        <w:trPr>
          <w:cantSplit/>
        </w:trPr>
        <w:tc>
          <w:tcPr>
            <w:tcW w:type="dxa" w:w="1500"/>
            <w:vMerge w:val="restart"/>
            <w:tcBorders>
              <w:top w:val="single" w:color="C9C9C0" w:sz="4"/>
              <w:left w:val="single" w:color="C9C9C0" w:sz="4"/>
              <w:bottom w:val="single" w:color="C9C9C0" w:sz="4"/>
              <w:right w:val="single" w:color="C9C9C0" w:sz="4"/>
            </w:tcBorders>
            <w:tcMar>
              <w:top w:type="dxa" w:w="80"/>
              <w:left w:type="dxa" w:w="120"/>
              <w:bottom w:type="dxa" w:w="80"/>
              <w:right w:type="dxa" w:w="120"/>
            </w:tcMar>
            <w:vAlign w:val="top"/>
          </w:tcPr>
          <w:p>
            <w:pPr>
              <w:spacing w:after="0"/>
            </w:pPr>
            <w:r>
              <w:rPr>
                <w:rFonts w:ascii="Calibri" w:cs="Calibri" w:eastAsia="Calibri" w:hAnsi="Calibri"/>
                <w:b/>
                <w:bCs/>
                <w:sz w:val="18"/>
                <w:szCs w:val="18"/>
              </w:rPr>
              <w:t xml:space="preserve">Physical Examination</w:t>
            </w:r>
          </w:p>
        </w:tc>
        <w:tc>
          <w:tcPr>
            <w:tcW w:type="dxa" w:w="135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b/>
                <w:bCs/>
                <w:color w:val="A4262C"/>
                <w:sz w:val="18"/>
                <w:szCs w:val="18"/>
              </w:rPr>
              <w:t xml:space="preserve">Discrepancy (High)</w:t>
            </w:r>
          </w:p>
        </w:tc>
        <w:tc>
          <w:tcPr>
            <w:tcW w:type="dxa" w:w="285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sz w:val="18"/>
                <w:szCs w:val="18"/>
              </w:rPr>
              <w:t xml:space="preserve">E2-5: “Mild rash noted on trunk.” Source: no rash observed. Also contradicts the note’s own ROS.</w:t>
            </w:r>
          </w:p>
        </w:tc>
        <w:tc>
          <w:tcPr>
            <w:tcW w:type="dxa" w:w="145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b/>
                <w:bCs/>
                <w:sz w:val="18"/>
                <w:szCs w:val="18"/>
              </w:rPr>
              <w:t xml:space="preserve">Addition</w:t>
            </w:r>
          </w:p>
        </w:tc>
        <w:tc>
          <w:tcPr>
            <w:tcW w:type="dxa" w:w="288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sz w:val="18"/>
                <w:szCs w:val="18"/>
              </w:rPr>
              <w:t xml:space="preserve">Replace with “No rash.” Remaining findings (temp 100.9°F, tonsillar exudate, tender cervical nodes, lungs clear) verified.</w:t>
            </w:r>
          </w:p>
        </w:tc>
      </w:tr>
      <w:tr>
        <w:trPr>
          <w:cantSplit/>
        </w:trPr>
        <w:tc>
          <w:tcPr>
            <w:tcW w:type="dxa" w:w="1500"/>
            <w:vMerge w:val="restart"/>
            <w:tcBorders>
              <w:top w:val="single" w:color="C9C9C0" w:sz="4"/>
              <w:left w:val="single" w:color="C9C9C0" w:sz="4"/>
              <w:bottom w:val="single" w:color="C9C9C0" w:sz="4"/>
              <w:right w:val="single" w:color="C9C9C0" w:sz="4"/>
            </w:tcBorders>
            <w:tcMar>
              <w:top w:type="dxa" w:w="80"/>
              <w:left w:type="dxa" w:w="120"/>
              <w:bottom w:type="dxa" w:w="80"/>
              <w:right w:type="dxa" w:w="120"/>
            </w:tcMar>
            <w:vAlign w:val="top"/>
          </w:tcPr>
          <w:p>
            <w:pPr>
              <w:spacing w:after="0"/>
            </w:pPr>
            <w:r>
              <w:rPr>
                <w:rFonts w:ascii="Calibri" w:cs="Calibri" w:eastAsia="Calibri" w:hAnsi="Calibri"/>
                <w:b/>
                <w:bCs/>
                <w:sz w:val="18"/>
                <w:szCs w:val="18"/>
              </w:rPr>
              <w:t xml:space="preserve">Assessment</w:t>
            </w:r>
          </w:p>
        </w:tc>
        <w:tc>
          <w:tcPr>
            <w:tcW w:type="dxa" w:w="135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b/>
                <w:bCs/>
                <w:color w:val="2E7D32"/>
                <w:sz w:val="18"/>
                <w:szCs w:val="18"/>
              </w:rPr>
              <w:t xml:space="preserve">Verified</w:t>
            </w:r>
          </w:p>
        </w:tc>
        <w:tc>
          <w:tcPr>
            <w:tcW w:type="dxa" w:w="285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sz w:val="18"/>
                <w:szCs w:val="18"/>
              </w:rPr>
              <w:t xml:space="preserve">None. Suspected streptococcal pharyngitis with rapid strep test ordered matches source.</w:t>
            </w:r>
          </w:p>
        </w:tc>
        <w:tc>
          <w:tcPr>
            <w:tcW w:type="dxa" w:w="145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sz w:val="18"/>
                <w:szCs w:val="18"/>
              </w:rPr>
              <w:t xml:space="preserve">—</w:t>
            </w:r>
          </w:p>
        </w:tc>
        <w:tc>
          <w:tcPr>
            <w:tcW w:type="dxa" w:w="288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sz w:val="18"/>
                <w:szCs w:val="18"/>
              </w:rPr>
              <w:t xml:space="preserve">None.</w:t>
            </w:r>
          </w:p>
        </w:tc>
      </w:tr>
      <w:tr>
        <w:trPr>
          <w:cantSplit/>
        </w:trPr>
        <w:tc>
          <w:tcPr>
            <w:tcW w:type="dxa" w:w="1500"/>
            <w:vMerge w:val="restart"/>
            <w:tcBorders>
              <w:top w:val="single" w:color="C9C9C0" w:sz="4"/>
              <w:left w:val="single" w:color="C9C9C0" w:sz="4"/>
              <w:bottom w:val="single" w:color="C9C9C0" w:sz="4"/>
              <w:right w:val="single" w:color="C9C9C0" w:sz="4"/>
            </w:tcBorders>
            <w:tcMar>
              <w:top w:type="dxa" w:w="80"/>
              <w:left w:type="dxa" w:w="120"/>
              <w:bottom w:type="dxa" w:w="80"/>
              <w:right w:type="dxa" w:w="120"/>
            </w:tcMar>
            <w:vAlign w:val="top"/>
          </w:tcPr>
          <w:p>
            <w:pPr>
              <w:spacing w:after="0"/>
            </w:pPr>
            <w:r>
              <w:rPr>
                <w:rFonts w:ascii="Calibri" w:cs="Calibri" w:eastAsia="Calibri" w:hAnsi="Calibri"/>
                <w:b/>
                <w:bCs/>
                <w:sz w:val="18"/>
                <w:szCs w:val="18"/>
              </w:rPr>
              <w:t xml:space="preserve">Plan</w:t>
            </w:r>
          </w:p>
        </w:tc>
        <w:tc>
          <w:tcPr>
            <w:tcW w:type="dxa" w:w="135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b/>
                <w:bCs/>
                <w:color w:val="A4262C"/>
                <w:sz w:val="18"/>
                <w:szCs w:val="18"/>
              </w:rPr>
              <w:t xml:space="preserve">Discrepancy (Moderate)</w:t>
            </w:r>
          </w:p>
        </w:tc>
        <w:tc>
          <w:tcPr>
            <w:tcW w:type="dxa" w:w="285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sz w:val="18"/>
                <w:szCs w:val="18"/>
              </w:rPr>
              <w:t xml:space="preserve">E2-6: States rapid strep test “performed in office.” Source records the test as ordered; no result is documented. Inconsistent with the note’s Assessment (“ordered”).</w:t>
            </w:r>
          </w:p>
        </w:tc>
        <w:tc>
          <w:tcPr>
            <w:tcW w:type="dxa" w:w="145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b/>
                <w:bCs/>
                <w:sz w:val="18"/>
                <w:szCs w:val="18"/>
              </w:rPr>
              <w:t xml:space="preserve">Inaccuracy</w:t>
            </w:r>
          </w:p>
        </w:tc>
        <w:tc>
          <w:tcPr>
            <w:tcW w:type="dxa" w:w="288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sz w:val="18"/>
                <w:szCs w:val="18"/>
              </w:rPr>
              <w:t xml:space="preserve">Change to “Rapid strep test ordered”; provider to document result before signing.</w:t>
            </w:r>
          </w:p>
        </w:tc>
      </w:tr>
      <w:tr>
        <w:trPr>
          <w:cantSplit/>
        </w:trPr>
        <w:tc>
          <w:tcPr>
            <w:tcW w:type="dxa" w:w="1500"/>
            <w:vMerge/>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p>
        </w:tc>
        <w:tc>
          <w:tcPr>
            <w:tcW w:type="dxa" w:w="135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b/>
                <w:bCs/>
                <w:color w:val="A4262C"/>
                <w:sz w:val="18"/>
                <w:szCs w:val="18"/>
              </w:rPr>
              <w:t xml:space="preserve">Discrepancy (Moderate)</w:t>
            </w:r>
          </w:p>
        </w:tc>
        <w:tc>
          <w:tcPr>
            <w:tcW w:type="dxa" w:w="285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sz w:val="18"/>
                <w:szCs w:val="18"/>
              </w:rPr>
              <w:t xml:space="preserve">E2-7 (linked to E2-2): Supportive-care counseling missing from Plan. Source: rest, fluids, OTC acetaminophen or ibuprofen for comfort.</w:t>
            </w:r>
          </w:p>
        </w:tc>
        <w:tc>
          <w:tcPr>
            <w:tcW w:type="dxa" w:w="145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b/>
                <w:bCs/>
                <w:sz w:val="18"/>
                <w:szCs w:val="18"/>
              </w:rPr>
              <w:t xml:space="preserve">Omission</w:t>
            </w:r>
          </w:p>
        </w:tc>
        <w:tc>
          <w:tcPr>
            <w:tcW w:type="dxa" w:w="288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sz w:val="18"/>
                <w:szCs w:val="18"/>
              </w:rPr>
              <w:t xml:space="preserve">Add: “Rest, fluids, OTC acetaminophen or ibuprofen for comfort.” Amoxicillin branches and 5-day return precautions verified.</w:t>
            </w:r>
          </w:p>
        </w:tc>
      </w:tr>
    </w:tbl>
    <w:p>
      <w:pPr>
        <w:spacing w:after="200"/>
      </w:pPr>
    </w:p>
    <w:p>
      <w:pPr>
        <w:spacing w:after="100" w:before="220"/>
      </w:pPr>
      <w:r>
        <w:rPr>
          <w:rFonts w:ascii="Calibri" w:cs="Calibri" w:eastAsia="Calibri" w:hAnsi="Calibri"/>
          <w:b/>
          <w:bCs/>
          <w:color w:val="1B6FB8"/>
          <w:sz w:val="22"/>
          <w:szCs w:val="22"/>
        </w:rPr>
        <w:t xml:space="preserve">Encounter 3 — Verification Review (James Okafor, Follow-up Consultation)</w:t>
      </w:r>
    </w:p>
    <w:tbl>
      <w:tblPr>
        <w:tblW w:type="dxa" w:w="10030"/>
        <w:tblBorders>
          <w:top w:val="single" w:color="auto" w:sz="4"/>
          <w:left w:val="single" w:color="auto" w:sz="4"/>
          <w:bottom w:val="single" w:color="auto" w:sz="4"/>
          <w:right w:val="single" w:color="auto" w:sz="4"/>
          <w:insideH w:val="single" w:color="auto" w:sz="4"/>
          <w:insideV w:val="single" w:color="auto" w:sz="4"/>
        </w:tblBorders>
      </w:tblPr>
      <w:tblGrid>
        <w:gridCol w:w="1500"/>
        <w:gridCol w:w="1350"/>
        <w:gridCol w:w="2850"/>
        <w:gridCol w:w="1450"/>
        <w:gridCol w:w="2880"/>
      </w:tblGrid>
      <w:tr>
        <w:trPr>
          <w:tblHeader/>
        </w:trPr>
        <w:tc>
          <w:tcPr>
            <w:tcW w:type="dxa" w:w="1500"/>
            <w:tcBorders>
              <w:top w:val="single" w:color="C9C9C0" w:sz="4"/>
              <w:left w:val="single" w:color="C9C9C0" w:sz="4"/>
              <w:bottom w:val="single" w:color="C9C9C0" w:sz="4"/>
              <w:right w:val="single" w:color="C9C9C0" w:sz="4"/>
            </w:tcBorders>
            <w:shd w:fill="1B3A5C"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Section</w:t>
            </w:r>
          </w:p>
        </w:tc>
        <w:tc>
          <w:tcPr>
            <w:tcW w:type="dxa" w:w="1350"/>
            <w:tcBorders>
              <w:top w:val="single" w:color="C9C9C0" w:sz="4"/>
              <w:left w:val="single" w:color="C9C9C0" w:sz="4"/>
              <w:bottom w:val="single" w:color="C9C9C0" w:sz="4"/>
              <w:right w:val="single" w:color="C9C9C0" w:sz="4"/>
            </w:tcBorders>
            <w:shd w:fill="1B3A5C"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Status</w:t>
            </w:r>
          </w:p>
        </w:tc>
        <w:tc>
          <w:tcPr>
            <w:tcW w:type="dxa" w:w="2850"/>
            <w:tcBorders>
              <w:top w:val="single" w:color="C9C9C0" w:sz="4"/>
              <w:left w:val="single" w:color="C9C9C0" w:sz="4"/>
              <w:bottom w:val="single" w:color="C9C9C0" w:sz="4"/>
              <w:right w:val="single" w:color="C9C9C0" w:sz="4"/>
            </w:tcBorders>
            <w:shd w:fill="1B3A5C"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Discrepancy (if present)</w:t>
            </w:r>
          </w:p>
        </w:tc>
        <w:tc>
          <w:tcPr>
            <w:tcW w:type="dxa" w:w="1450"/>
            <w:tcBorders>
              <w:top w:val="single" w:color="C9C9C0" w:sz="4"/>
              <w:left w:val="single" w:color="C9C9C0" w:sz="4"/>
              <w:bottom w:val="single" w:color="C9C9C0" w:sz="4"/>
              <w:right w:val="single" w:color="C9C9C0" w:sz="4"/>
            </w:tcBorders>
            <w:shd w:fill="1B3A5C"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Classification</w:t>
            </w:r>
          </w:p>
        </w:tc>
        <w:tc>
          <w:tcPr>
            <w:tcW w:type="dxa" w:w="2880"/>
            <w:tcBorders>
              <w:top w:val="single" w:color="C9C9C0" w:sz="4"/>
              <w:left w:val="single" w:color="C9C9C0" w:sz="4"/>
              <w:bottom w:val="single" w:color="C9C9C0" w:sz="4"/>
              <w:right w:val="single" w:color="C9C9C0" w:sz="4"/>
            </w:tcBorders>
            <w:shd w:fill="1B3A5C"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color w:val="FFFFFF"/>
                <w:sz w:val="18"/>
                <w:szCs w:val="18"/>
              </w:rPr>
              <w:t xml:space="preserve">Correction Recommended</w:t>
            </w:r>
          </w:p>
        </w:tc>
      </w:tr>
      <w:tr>
        <w:trPr>
          <w:cantSplit/>
        </w:trPr>
        <w:tc>
          <w:tcPr>
            <w:tcW w:type="dxa" w:w="1500"/>
            <w:vMerge w:val="restart"/>
            <w:tcBorders>
              <w:top w:val="single" w:color="C9C9C0" w:sz="4"/>
              <w:left w:val="single" w:color="C9C9C0" w:sz="4"/>
              <w:bottom w:val="single" w:color="C9C9C0" w:sz="4"/>
              <w:right w:val="single" w:color="C9C9C0" w:sz="4"/>
            </w:tcBorders>
            <w:tcMar>
              <w:top w:type="dxa" w:w="80"/>
              <w:left w:type="dxa" w:w="120"/>
              <w:bottom w:type="dxa" w:w="80"/>
              <w:right w:type="dxa" w:w="120"/>
            </w:tcMar>
            <w:vAlign w:val="top"/>
          </w:tcPr>
          <w:p>
            <w:pPr>
              <w:spacing w:after="0"/>
            </w:pPr>
            <w:r>
              <w:rPr>
                <w:rFonts w:ascii="Calibri" w:cs="Calibri" w:eastAsia="Calibri" w:hAnsi="Calibri"/>
                <w:b/>
                <w:bCs/>
                <w:sz w:val="18"/>
                <w:szCs w:val="18"/>
              </w:rPr>
              <w:t xml:space="preserve">Chief Complaint</w:t>
            </w:r>
          </w:p>
        </w:tc>
        <w:tc>
          <w:tcPr>
            <w:tcW w:type="dxa" w:w="135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b/>
                <w:bCs/>
                <w:color w:val="2E7D32"/>
                <w:sz w:val="18"/>
                <w:szCs w:val="18"/>
              </w:rPr>
              <w:t xml:space="preserve">Verified</w:t>
            </w:r>
          </w:p>
        </w:tc>
        <w:tc>
          <w:tcPr>
            <w:tcW w:type="dxa" w:w="285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sz w:val="18"/>
                <w:szCs w:val="18"/>
              </w:rPr>
              <w:t xml:space="preserve">None. Matches source (follow-up for type 2 diabetes and hypertension).</w:t>
            </w:r>
          </w:p>
        </w:tc>
        <w:tc>
          <w:tcPr>
            <w:tcW w:type="dxa" w:w="145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sz w:val="18"/>
                <w:szCs w:val="18"/>
              </w:rPr>
              <w:t xml:space="preserve">—</w:t>
            </w:r>
          </w:p>
        </w:tc>
        <w:tc>
          <w:tcPr>
            <w:tcW w:type="dxa" w:w="288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sz w:val="18"/>
                <w:szCs w:val="18"/>
              </w:rPr>
              <w:t xml:space="preserve">None.</w:t>
            </w:r>
          </w:p>
        </w:tc>
      </w:tr>
      <w:tr>
        <w:trPr>
          <w:cantSplit/>
        </w:trPr>
        <w:tc>
          <w:tcPr>
            <w:tcW w:type="dxa" w:w="1500"/>
            <w:vMerge w:val="restart"/>
            <w:tcBorders>
              <w:top w:val="single" w:color="C9C9C0" w:sz="4"/>
              <w:left w:val="single" w:color="C9C9C0" w:sz="4"/>
              <w:bottom w:val="single" w:color="C9C9C0" w:sz="4"/>
              <w:right w:val="single" w:color="C9C9C0" w:sz="4"/>
            </w:tcBorders>
            <w:tcMar>
              <w:top w:type="dxa" w:w="80"/>
              <w:left w:type="dxa" w:w="120"/>
              <w:bottom w:type="dxa" w:w="80"/>
              <w:right w:type="dxa" w:w="120"/>
            </w:tcMar>
            <w:vAlign w:val="top"/>
          </w:tcPr>
          <w:p>
            <w:pPr>
              <w:spacing w:after="0"/>
            </w:pPr>
            <w:r>
              <w:rPr>
                <w:rFonts w:ascii="Calibri" w:cs="Calibri" w:eastAsia="Calibri" w:hAnsi="Calibri"/>
                <w:b/>
                <w:bCs/>
                <w:sz w:val="18"/>
                <w:szCs w:val="18"/>
              </w:rPr>
              <w:t xml:space="preserve">History of Present Illness</w:t>
            </w:r>
          </w:p>
        </w:tc>
        <w:tc>
          <w:tcPr>
            <w:tcW w:type="dxa" w:w="135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b/>
                <w:bCs/>
                <w:color w:val="A4262C"/>
                <w:sz w:val="18"/>
                <w:szCs w:val="18"/>
              </w:rPr>
              <w:t xml:space="preserve">Discrepancy (High)</w:t>
            </w:r>
          </w:p>
        </w:tc>
        <w:tc>
          <w:tcPr>
            <w:tcW w:type="dxa" w:w="285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sz w:val="18"/>
                <w:szCs w:val="18"/>
              </w:rPr>
              <w:t xml:space="preserve">E3-1: “Reports occasional chest tightness with exertion.” Source: patient denies chest pain or chest tightness.</w:t>
            </w:r>
          </w:p>
        </w:tc>
        <w:tc>
          <w:tcPr>
            <w:tcW w:type="dxa" w:w="145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b/>
                <w:bCs/>
                <w:sz w:val="18"/>
                <w:szCs w:val="18"/>
              </w:rPr>
              <w:t xml:space="preserve">Addition</w:t>
            </w:r>
          </w:p>
        </w:tc>
        <w:tc>
          <w:tcPr>
            <w:tcW w:type="dxa" w:w="288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sz w:val="18"/>
                <w:szCs w:val="18"/>
              </w:rPr>
              <w:t xml:space="preserve">Replace with “Denies chest pain or chest tightness.”</w:t>
            </w:r>
          </w:p>
        </w:tc>
      </w:tr>
      <w:tr>
        <w:trPr>
          <w:cantSplit/>
        </w:trPr>
        <w:tc>
          <w:tcPr>
            <w:tcW w:type="dxa" w:w="1500"/>
            <w:vMerge/>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p>
        </w:tc>
        <w:tc>
          <w:tcPr>
            <w:tcW w:type="dxa" w:w="135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b/>
                <w:bCs/>
                <w:color w:val="A4262C"/>
                <w:sz w:val="18"/>
                <w:szCs w:val="18"/>
              </w:rPr>
              <w:t xml:space="preserve">Discrepancy (High)</w:t>
            </w:r>
          </w:p>
        </w:tc>
        <w:tc>
          <w:tcPr>
            <w:tcW w:type="dxa" w:w="285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sz w:val="18"/>
                <w:szCs w:val="18"/>
              </w:rPr>
              <w:t xml:space="preserve">E3-2: New mild numbness in toes over the past month omitted.</w:t>
            </w:r>
          </w:p>
        </w:tc>
        <w:tc>
          <w:tcPr>
            <w:tcW w:type="dxa" w:w="145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b/>
                <w:bCs/>
                <w:sz w:val="18"/>
                <w:szCs w:val="18"/>
              </w:rPr>
              <w:t xml:space="preserve">Omission</w:t>
            </w:r>
          </w:p>
        </w:tc>
        <w:tc>
          <w:tcPr>
            <w:tcW w:type="dxa" w:w="288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sz w:val="18"/>
                <w:szCs w:val="18"/>
              </w:rPr>
              <w:t xml:space="preserve">Add: “Reports new mild numbness in toes over the past month.” Glucose, hypoglycemia, metformin adherence, and home BP verified.</w:t>
            </w:r>
          </w:p>
        </w:tc>
      </w:tr>
      <w:tr>
        <w:trPr>
          <w:cantSplit/>
        </w:trPr>
        <w:tc>
          <w:tcPr>
            <w:tcW w:type="dxa" w:w="1500"/>
            <w:vMerge w:val="restart"/>
            <w:tcBorders>
              <w:top w:val="single" w:color="C9C9C0" w:sz="4"/>
              <w:left w:val="single" w:color="C9C9C0" w:sz="4"/>
              <w:bottom w:val="single" w:color="C9C9C0" w:sz="4"/>
              <w:right w:val="single" w:color="C9C9C0" w:sz="4"/>
            </w:tcBorders>
            <w:tcMar>
              <w:top w:type="dxa" w:w="80"/>
              <w:left w:type="dxa" w:w="120"/>
              <w:bottom w:type="dxa" w:w="80"/>
              <w:right w:type="dxa" w:w="120"/>
            </w:tcMar>
            <w:vAlign w:val="top"/>
          </w:tcPr>
          <w:p>
            <w:pPr>
              <w:spacing w:after="0"/>
            </w:pPr>
            <w:r>
              <w:rPr>
                <w:rFonts w:ascii="Calibri" w:cs="Calibri" w:eastAsia="Calibri" w:hAnsi="Calibri"/>
                <w:b/>
                <w:bCs/>
                <w:sz w:val="18"/>
                <w:szCs w:val="18"/>
              </w:rPr>
              <w:t xml:space="preserve">Review of Systems</w:t>
            </w:r>
          </w:p>
        </w:tc>
        <w:tc>
          <w:tcPr>
            <w:tcW w:type="dxa" w:w="135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b/>
                <w:bCs/>
                <w:color w:val="A4262C"/>
                <w:sz w:val="18"/>
                <w:szCs w:val="18"/>
              </w:rPr>
              <w:t xml:space="preserve">Discrepancy (High)</w:t>
            </w:r>
          </w:p>
        </w:tc>
        <w:tc>
          <w:tcPr>
            <w:tcW w:type="dxa" w:w="285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sz w:val="18"/>
                <w:szCs w:val="18"/>
              </w:rPr>
              <w:t xml:space="preserve">E3-3 (linked to E3-1): “Positive for occasional chest tightness.” Source: denied.</w:t>
            </w:r>
          </w:p>
        </w:tc>
        <w:tc>
          <w:tcPr>
            <w:tcW w:type="dxa" w:w="145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b/>
                <w:bCs/>
                <w:sz w:val="18"/>
                <w:szCs w:val="18"/>
              </w:rPr>
              <w:t xml:space="preserve">Addition</w:t>
            </w:r>
          </w:p>
        </w:tc>
        <w:tc>
          <w:tcPr>
            <w:tcW w:type="dxa" w:w="288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sz w:val="18"/>
                <w:szCs w:val="18"/>
              </w:rPr>
              <w:t xml:space="preserve">Remove from positives; record “Negative for chest pain and chest tightness.”</w:t>
            </w:r>
          </w:p>
        </w:tc>
      </w:tr>
      <w:tr>
        <w:trPr>
          <w:cantSplit/>
        </w:trPr>
        <w:tc>
          <w:tcPr>
            <w:tcW w:type="dxa" w:w="1500"/>
            <w:vMerge/>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p>
        </w:tc>
        <w:tc>
          <w:tcPr>
            <w:tcW w:type="dxa" w:w="135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b/>
                <w:bCs/>
                <w:color w:val="A4262C"/>
                <w:sz w:val="18"/>
                <w:szCs w:val="18"/>
              </w:rPr>
              <w:t xml:space="preserve">Discrepancy (Moderate)</w:t>
            </w:r>
          </w:p>
        </w:tc>
        <w:tc>
          <w:tcPr>
            <w:tcW w:type="dxa" w:w="285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sz w:val="18"/>
                <w:szCs w:val="18"/>
              </w:rPr>
              <w:t xml:space="preserve">E3-4 (linked to E3-2): Toe numbness absent from ROS.</w:t>
            </w:r>
          </w:p>
        </w:tc>
        <w:tc>
          <w:tcPr>
            <w:tcW w:type="dxa" w:w="145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b/>
                <w:bCs/>
                <w:sz w:val="18"/>
                <w:szCs w:val="18"/>
              </w:rPr>
              <w:t xml:space="preserve">Omission</w:t>
            </w:r>
          </w:p>
        </w:tc>
        <w:tc>
          <w:tcPr>
            <w:tcW w:type="dxa" w:w="288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sz w:val="18"/>
                <w:szCs w:val="18"/>
              </w:rPr>
              <w:t xml:space="preserve">Add “Positive for numbness in toes.”</w:t>
            </w:r>
          </w:p>
        </w:tc>
      </w:tr>
      <w:tr>
        <w:trPr>
          <w:cantSplit/>
        </w:trPr>
        <w:tc>
          <w:tcPr>
            <w:tcW w:type="dxa" w:w="1500"/>
            <w:vMerge/>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p>
        </w:tc>
        <w:tc>
          <w:tcPr>
            <w:tcW w:type="dxa" w:w="135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b/>
                <w:bCs/>
                <w:color w:val="A4262C"/>
                <w:sz w:val="18"/>
                <w:szCs w:val="18"/>
              </w:rPr>
              <w:t xml:space="preserve">Discrepancy (Low)</w:t>
            </w:r>
          </w:p>
        </w:tc>
        <w:tc>
          <w:tcPr>
            <w:tcW w:type="dxa" w:w="285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sz w:val="18"/>
                <w:szCs w:val="18"/>
              </w:rPr>
              <w:t xml:space="preserve">E3-5: “Negative for polyuria, polydipsia.” Not discussed in source.</w:t>
            </w:r>
          </w:p>
        </w:tc>
        <w:tc>
          <w:tcPr>
            <w:tcW w:type="dxa" w:w="145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b/>
                <w:bCs/>
                <w:sz w:val="18"/>
                <w:szCs w:val="18"/>
              </w:rPr>
              <w:t xml:space="preserve">Addition</w:t>
            </w:r>
          </w:p>
        </w:tc>
        <w:tc>
          <w:tcPr>
            <w:tcW w:type="dxa" w:w="288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sz w:val="18"/>
                <w:szCs w:val="18"/>
              </w:rPr>
              <w:t xml:space="preserve">Remove unless provider confirms these were asked. Vision changes negative verified.</w:t>
            </w:r>
          </w:p>
        </w:tc>
      </w:tr>
      <w:tr>
        <w:trPr>
          <w:cantSplit/>
        </w:trPr>
        <w:tc>
          <w:tcPr>
            <w:tcW w:type="dxa" w:w="1500"/>
            <w:vMerge w:val="restart"/>
            <w:tcBorders>
              <w:top w:val="single" w:color="C9C9C0" w:sz="4"/>
              <w:left w:val="single" w:color="C9C9C0" w:sz="4"/>
              <w:bottom w:val="single" w:color="C9C9C0" w:sz="4"/>
              <w:right w:val="single" w:color="C9C9C0" w:sz="4"/>
            </w:tcBorders>
            <w:tcMar>
              <w:top w:type="dxa" w:w="80"/>
              <w:left w:type="dxa" w:w="120"/>
              <w:bottom w:type="dxa" w:w="80"/>
              <w:right w:type="dxa" w:w="120"/>
            </w:tcMar>
            <w:vAlign w:val="top"/>
          </w:tcPr>
          <w:p>
            <w:pPr>
              <w:spacing w:after="0"/>
            </w:pPr>
            <w:r>
              <w:rPr>
                <w:rFonts w:ascii="Calibri" w:cs="Calibri" w:eastAsia="Calibri" w:hAnsi="Calibri"/>
                <w:b/>
                <w:bCs/>
                <w:sz w:val="18"/>
                <w:szCs w:val="18"/>
              </w:rPr>
              <w:t xml:space="preserve">Physical Examination</w:t>
            </w:r>
          </w:p>
        </w:tc>
        <w:tc>
          <w:tcPr>
            <w:tcW w:type="dxa" w:w="135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b/>
                <w:bCs/>
                <w:color w:val="A4262C"/>
                <w:sz w:val="18"/>
                <w:szCs w:val="18"/>
              </w:rPr>
              <w:t xml:space="preserve">Discrepancy (High)</w:t>
            </w:r>
          </w:p>
        </w:tc>
        <w:tc>
          <w:tcPr>
            <w:tcW w:type="dxa" w:w="285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sz w:val="18"/>
                <w:szCs w:val="18"/>
              </w:rPr>
              <w:t xml:space="preserve">E3-6: “Pulses diminished bilaterally.” Source: pedal pulses intact bilaterally.</w:t>
            </w:r>
          </w:p>
        </w:tc>
        <w:tc>
          <w:tcPr>
            <w:tcW w:type="dxa" w:w="145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b/>
                <w:bCs/>
                <w:sz w:val="18"/>
                <w:szCs w:val="18"/>
              </w:rPr>
              <w:t xml:space="preserve">Inaccuracy</w:t>
            </w:r>
          </w:p>
        </w:tc>
        <w:tc>
          <w:tcPr>
            <w:tcW w:type="dxa" w:w="288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sz w:val="18"/>
                <w:szCs w:val="18"/>
              </w:rPr>
              <w:t xml:space="preserve">Change to “Pedal pulses intact bilaterally.” Vitals, BMI, monofilament, and no-ulcer findings verified.</w:t>
            </w:r>
          </w:p>
        </w:tc>
      </w:tr>
      <w:tr>
        <w:trPr>
          <w:cantSplit/>
        </w:trPr>
        <w:tc>
          <w:tcPr>
            <w:tcW w:type="dxa" w:w="1500"/>
            <w:vMerge w:val="restart"/>
            <w:tcBorders>
              <w:top w:val="single" w:color="C9C9C0" w:sz="4"/>
              <w:left w:val="single" w:color="C9C9C0" w:sz="4"/>
              <w:bottom w:val="single" w:color="C9C9C0" w:sz="4"/>
              <w:right w:val="single" w:color="C9C9C0" w:sz="4"/>
            </w:tcBorders>
            <w:tcMar>
              <w:top w:type="dxa" w:w="80"/>
              <w:left w:type="dxa" w:w="120"/>
              <w:bottom w:type="dxa" w:w="80"/>
              <w:right w:type="dxa" w:w="120"/>
            </w:tcMar>
            <w:vAlign w:val="top"/>
          </w:tcPr>
          <w:p>
            <w:pPr>
              <w:spacing w:after="0"/>
            </w:pPr>
            <w:r>
              <w:rPr>
                <w:rFonts w:ascii="Calibri" w:cs="Calibri" w:eastAsia="Calibri" w:hAnsi="Calibri"/>
                <w:b/>
                <w:bCs/>
                <w:sz w:val="18"/>
                <w:szCs w:val="18"/>
              </w:rPr>
              <w:t xml:space="preserve">Assessment</w:t>
            </w:r>
          </w:p>
        </w:tc>
        <w:tc>
          <w:tcPr>
            <w:tcW w:type="dxa" w:w="135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b/>
                <w:bCs/>
                <w:color w:val="A4262C"/>
                <w:sz w:val="18"/>
                <w:szCs w:val="18"/>
              </w:rPr>
              <w:t xml:space="preserve">Discrepancy (Moderate)</w:t>
            </w:r>
          </w:p>
        </w:tc>
        <w:tc>
          <w:tcPr>
            <w:tcW w:type="dxa" w:w="285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sz w:val="18"/>
                <w:szCs w:val="18"/>
              </w:rPr>
              <w:t xml:space="preserve">E3-7: “Referral to podiatry for neuropathy evaluation recommended” is a plan action placed in the Assessment.</w:t>
            </w:r>
          </w:p>
        </w:tc>
        <w:tc>
          <w:tcPr>
            <w:tcW w:type="dxa" w:w="145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b/>
                <w:bCs/>
                <w:sz w:val="18"/>
                <w:szCs w:val="18"/>
              </w:rPr>
              <w:t xml:space="preserve">Structural Deviation</w:t>
            </w:r>
          </w:p>
        </w:tc>
        <w:tc>
          <w:tcPr>
            <w:tcW w:type="dxa" w:w="288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sz w:val="18"/>
                <w:szCs w:val="18"/>
              </w:rPr>
              <w:t xml:space="preserve">Remove from Assessment and record in Plan (see E3-10). “New finding of peripheral neuropathy” verified.</w:t>
            </w:r>
          </w:p>
        </w:tc>
      </w:tr>
      <w:tr>
        <w:trPr>
          <w:cantSplit/>
        </w:trPr>
        <w:tc>
          <w:tcPr>
            <w:tcW w:type="dxa" w:w="1500"/>
            <w:vMerge/>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p>
        </w:tc>
        <w:tc>
          <w:tcPr>
            <w:tcW w:type="dxa" w:w="135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b/>
                <w:bCs/>
                <w:color w:val="A4262C"/>
                <w:sz w:val="18"/>
                <w:szCs w:val="18"/>
              </w:rPr>
              <w:t xml:space="preserve">Discrepancy (Low)</w:t>
            </w:r>
          </w:p>
        </w:tc>
        <w:tc>
          <w:tcPr>
            <w:tcW w:type="dxa" w:w="285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sz w:val="18"/>
                <w:szCs w:val="18"/>
              </w:rPr>
              <w:t xml:space="preserve">E3-8: Diabetes described as “suboptimal control.” No control status stated in source.</w:t>
            </w:r>
          </w:p>
        </w:tc>
        <w:tc>
          <w:tcPr>
            <w:tcW w:type="dxa" w:w="145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b/>
                <w:bCs/>
                <w:sz w:val="18"/>
                <w:szCs w:val="18"/>
              </w:rPr>
              <w:t xml:space="preserve">Addition</w:t>
            </w:r>
          </w:p>
        </w:tc>
        <w:tc>
          <w:tcPr>
            <w:tcW w:type="dxa" w:w="288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sz w:val="18"/>
                <w:szCs w:val="18"/>
              </w:rPr>
              <w:t xml:space="preserve">Provider to confirm or remove.</w:t>
            </w:r>
          </w:p>
        </w:tc>
      </w:tr>
      <w:tr>
        <w:trPr>
          <w:cantSplit/>
        </w:trPr>
        <w:tc>
          <w:tcPr>
            <w:tcW w:type="dxa" w:w="1500"/>
            <w:vMerge/>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p>
        </w:tc>
        <w:tc>
          <w:tcPr>
            <w:tcW w:type="dxa" w:w="135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b/>
                <w:bCs/>
                <w:color w:val="A4262C"/>
                <w:sz w:val="18"/>
                <w:szCs w:val="18"/>
              </w:rPr>
              <w:t xml:space="preserve">Discrepancy (Low)</w:t>
            </w:r>
          </w:p>
        </w:tc>
        <w:tc>
          <w:tcPr>
            <w:tcW w:type="dxa" w:w="285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sz w:val="18"/>
                <w:szCs w:val="18"/>
              </w:rPr>
              <w:t xml:space="preserve">E3-9: Hypertension described as “borderline controlled.” No control status stated in source.</w:t>
            </w:r>
          </w:p>
        </w:tc>
        <w:tc>
          <w:tcPr>
            <w:tcW w:type="dxa" w:w="145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b/>
                <w:bCs/>
                <w:sz w:val="18"/>
                <w:szCs w:val="18"/>
              </w:rPr>
              <w:t xml:space="preserve">Addition</w:t>
            </w:r>
          </w:p>
        </w:tc>
        <w:tc>
          <w:tcPr>
            <w:tcW w:type="dxa" w:w="288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sz w:val="18"/>
                <w:szCs w:val="18"/>
              </w:rPr>
              <w:t xml:space="preserve">Provider to confirm or remove.</w:t>
            </w:r>
          </w:p>
        </w:tc>
      </w:tr>
      <w:tr>
        <w:trPr>
          <w:cantSplit/>
        </w:trPr>
        <w:tc>
          <w:tcPr>
            <w:tcW w:type="dxa" w:w="1500"/>
            <w:vMerge w:val="restart"/>
            <w:tcBorders>
              <w:top w:val="single" w:color="C9C9C0" w:sz="4"/>
              <w:left w:val="single" w:color="C9C9C0" w:sz="4"/>
              <w:bottom w:val="single" w:color="C9C9C0" w:sz="4"/>
              <w:right w:val="single" w:color="C9C9C0" w:sz="4"/>
            </w:tcBorders>
            <w:tcMar>
              <w:top w:type="dxa" w:w="80"/>
              <w:left w:type="dxa" w:w="120"/>
              <w:bottom w:type="dxa" w:w="80"/>
              <w:right w:type="dxa" w:w="120"/>
            </w:tcMar>
            <w:vAlign w:val="top"/>
          </w:tcPr>
          <w:p>
            <w:pPr>
              <w:spacing w:after="0"/>
            </w:pPr>
            <w:r>
              <w:rPr>
                <w:rFonts w:ascii="Calibri" w:cs="Calibri" w:eastAsia="Calibri" w:hAnsi="Calibri"/>
                <w:b/>
                <w:bCs/>
                <w:sz w:val="18"/>
                <w:szCs w:val="18"/>
              </w:rPr>
              <w:t xml:space="preserve">Plan</w:t>
            </w:r>
          </w:p>
        </w:tc>
        <w:tc>
          <w:tcPr>
            <w:tcW w:type="dxa" w:w="135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b/>
                <w:bCs/>
                <w:color w:val="A4262C"/>
                <w:sz w:val="18"/>
                <w:szCs w:val="18"/>
              </w:rPr>
              <w:t xml:space="preserve">Discrepancy (Moderate)</w:t>
            </w:r>
          </w:p>
        </w:tc>
        <w:tc>
          <w:tcPr>
            <w:tcW w:type="dxa" w:w="285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sz w:val="18"/>
                <w:szCs w:val="18"/>
              </w:rPr>
              <w:t xml:space="preserve">E3-10 (linked to E3-7): Podiatry referral absent from Plan.</w:t>
            </w:r>
          </w:p>
        </w:tc>
        <w:tc>
          <w:tcPr>
            <w:tcW w:type="dxa" w:w="145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b/>
                <w:bCs/>
                <w:sz w:val="18"/>
                <w:szCs w:val="18"/>
              </w:rPr>
              <w:t xml:space="preserve">Omission</w:t>
            </w:r>
          </w:p>
        </w:tc>
        <w:tc>
          <w:tcPr>
            <w:tcW w:type="dxa" w:w="2880"/>
            <w:tcBorders>
              <w:top w:val="single" w:color="C9C9C0" w:sz="4"/>
              <w:left w:val="single" w:color="C9C9C0" w:sz="4"/>
              <w:bottom w:val="single" w:color="C9C9C0" w:sz="4"/>
              <w:right w:val="single" w:color="C9C9C0" w:sz="4"/>
            </w:tcBorders>
            <w:tcMar>
              <w:top w:type="dxa" w:w="80"/>
              <w:left w:type="dxa" w:w="120"/>
              <w:bottom w:type="dxa" w:w="80"/>
              <w:right w:type="dxa" w:w="120"/>
            </w:tcMar>
            <w:vAlign w:val="center"/>
          </w:tcPr>
          <w:p>
            <w:pPr>
              <w:spacing w:after="0"/>
            </w:pPr>
            <w:r>
              <w:rPr>
                <w:rFonts w:ascii="Calibri" w:cs="Calibri" w:eastAsia="Calibri" w:hAnsi="Calibri"/>
                <w:sz w:val="18"/>
                <w:szCs w:val="18"/>
              </w:rPr>
              <w:t xml:space="preserve">Add: “Refer to podiatry for neuropathy evaluation.” HbA1c/CMP, lisinopril 10 mg daily, foot-care education, and 3-month follow-up verified.</w:t>
            </w:r>
          </w:p>
        </w:tc>
      </w:tr>
    </w:tbl>
    <w:p>
      <w:pPr>
        <w:shd w:fill="DCEAF6" w:color="auto" w:val="clear"/>
        <w:spacing w:after="140" w:before="320"/>
      </w:pPr>
      <w:r>
        <w:rPr>
          <w:rFonts w:ascii="Calibri" w:cs="Calibri" w:eastAsia="Calibri" w:hAnsi="Calibri"/>
          <w:b/>
          <w:bCs/>
          <w:color w:val="1B3A5C"/>
          <w:sz w:val="24"/>
          <w:szCs w:val="24"/>
        </w:rPr>
        <w:t xml:space="preserve">  Component 3: Quality Evaluation Summary</w:t>
      </w:r>
    </w:p>
    <w:p>
      <w:pPr>
        <w:spacing w:after="160"/>
      </w:pPr>
      <w:r>
        <w:rPr>
          <w:rFonts w:ascii="Calibri" w:cs="Calibri" w:eastAsia="Calibri" w:hAnsi="Calibri"/>
          <w:i/>
          <w:iCs/>
          <w:color w:val="5B6169"/>
          <w:sz w:val="21"/>
          <w:szCs w:val="21"/>
        </w:rPr>
        <w:t xml:space="preserve">Using the completed verification reviews as your evidence base, rate the batch across all three dimensions and provide at least one actionable improvement recommendation.</w:t>
      </w:r>
    </w:p>
    <w:p>
      <w:pPr>
        <w:spacing w:after="80"/>
      </w:pPr>
      <w:r>
        <w:rPr>
          <w:rFonts w:ascii="Calibri" w:cs="Calibri" w:eastAsia="Calibri" w:hAnsi="Calibri"/>
          <w:b/>
          <w:bCs/>
          <w:color w:val="1B3A5C"/>
          <w:sz w:val="20"/>
          <w:szCs w:val="20"/>
        </w:rPr>
        <w:t xml:space="preserve">Evidence base: </w:t>
      </w:r>
      <w:r>
        <w:rPr>
          <w:rFonts w:ascii="Calibri" w:cs="Calibri" w:eastAsia="Calibri" w:hAnsi="Calibri"/>
          <w:sz w:val="20"/>
          <w:szCs w:val="20"/>
        </w:rPr>
        <w:t xml:space="preserve">17 entries across 12 reviewed sections; 13 distinct discrepancies once linked entries are counted once. Sections verified without discrepancy: 3 of 12 (Encounter 2 Chief Complaint and Assessment; Encounter 3 Chief Complaint). Distinct discrepancies by type: Addition 5, Inaccuracy 3, Structural Deviation 3, Omission 2. Five are rated High severity.</w:t>
      </w:r>
    </w:p>
    <w:p>
      <w:pPr>
        <w:spacing w:after="100" w:before="220"/>
      </w:pPr>
      <w:r>
        <w:rPr>
          <w:rFonts w:ascii="Calibri" w:cs="Calibri" w:eastAsia="Calibri" w:hAnsi="Calibri"/>
          <w:b/>
          <w:bCs/>
          <w:color w:val="1B6FB8"/>
          <w:sz w:val="22"/>
          <w:szCs w:val="22"/>
        </w:rPr>
        <w:t xml:space="preserve">Clinical Accuracy</w:t>
      </w:r>
    </w:p>
    <w:tbl>
      <w:tblPr>
        <w:tblW w:type="dxa" w:w="10030"/>
        <w:tblBorders>
          <w:top w:val="single" w:color="auto" w:sz="4"/>
          <w:left w:val="single" w:color="auto" w:sz="4"/>
          <w:bottom w:val="single" w:color="auto" w:sz="4"/>
          <w:right w:val="single" w:color="auto" w:sz="4"/>
          <w:insideH w:val="single" w:color="auto" w:sz="4"/>
          <w:insideV w:val="single" w:color="auto" w:sz="4"/>
        </w:tblBorders>
      </w:tblPr>
      <w:tblGrid>
        <w:gridCol w:w="2400"/>
        <w:gridCol w:w="7630"/>
      </w:tblGrid>
      <w:tr>
        <w:tc>
          <w:tcPr>
            <w:tcW w:type="dxa" w:w="2400"/>
            <w:tcBorders>
              <w:top w:val="single" w:color="C9C9C0" w:sz="4"/>
              <w:left w:val="single" w:color="C9C9C0" w:sz="4"/>
              <w:bottom w:val="single" w:color="C9C9C0" w:sz="4"/>
              <w:right w:val="single" w:color="C9C9C0" w:sz="4"/>
            </w:tcBorders>
            <w:shd w:fill="F1EFE8"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sz w:val="21"/>
                <w:szCs w:val="21"/>
              </w:rPr>
              <w:t xml:space="preserve">Rating (Met / Partially Met / Not Met):</w:t>
            </w:r>
          </w:p>
        </w:tc>
        <w:tc>
          <w:tcPr>
            <w:tcW w:type="dxa" w:w="7630"/>
            <w:tcBorders>
              <w:top w:val="single" w:color="C9C9C0" w:sz="4"/>
              <w:left w:val="single" w:color="C9C9C0" w:sz="4"/>
              <w:bottom w:val="single" w:color="C9C9C0" w:sz="4"/>
              <w:right w:val="single" w:color="C9C9C0" w:sz="4"/>
            </w:tcBorders>
            <w:tcMar>
              <w:top w:type="dxa" w:w="200"/>
              <w:left w:type="dxa" w:w="120"/>
              <w:bottom w:type="dxa" w:w="200"/>
              <w:right w:type="dxa" w:w="120"/>
            </w:tcMar>
            <w:vAlign w:val="center"/>
          </w:tcPr>
          <w:p>
            <w:pPr>
              <w:spacing w:after="0"/>
            </w:pPr>
            <w:r>
              <w:rPr>
                <w:rFonts w:ascii="Calibri" w:cs="Calibri" w:eastAsia="Calibri" w:hAnsi="Calibri"/>
                <w:b/>
                <w:bCs/>
                <w:color w:val="1B3A5C"/>
                <w:sz w:val="21"/>
                <w:szCs w:val="21"/>
              </w:rPr>
              <w:t xml:space="preserve">Not Met</w:t>
            </w:r>
          </w:p>
        </w:tc>
      </w:tr>
      <w:tr>
        <w:tc>
          <w:tcPr>
            <w:tcW w:type="dxa" w:w="2400"/>
            <w:tcBorders>
              <w:top w:val="single" w:color="C9C9C0" w:sz="4"/>
              <w:left w:val="single" w:color="C9C9C0" w:sz="4"/>
              <w:bottom w:val="single" w:color="C9C9C0" w:sz="4"/>
              <w:right w:val="single" w:color="C9C9C0" w:sz="4"/>
            </w:tcBorders>
            <w:shd w:fill="F1EFE8"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sz w:val="21"/>
                <w:szCs w:val="21"/>
              </w:rPr>
              <w:t xml:space="preserve">Supporting Observation:</w:t>
            </w:r>
          </w:p>
        </w:tc>
        <w:tc>
          <w:tcPr>
            <w:tcW w:type="dxa" w:w="7630"/>
            <w:tcBorders>
              <w:top w:val="single" w:color="C9C9C0" w:sz="4"/>
              <w:left w:val="single" w:color="C9C9C0" w:sz="4"/>
              <w:bottom w:val="single" w:color="C9C9C0" w:sz="4"/>
              <w:right w:val="single" w:color="C9C9C0" w:sz="4"/>
            </w:tcBorders>
            <w:tcMar>
              <w:top w:type="dxa" w:w="200"/>
              <w:left w:type="dxa" w:w="120"/>
              <w:bottom w:type="dxa" w:w="200"/>
              <w:right w:type="dxa" w:w="120"/>
            </w:tcMar>
            <w:vAlign w:val="center"/>
          </w:tcPr>
          <w:p>
            <w:pPr>
              <w:spacing w:after="0"/>
            </w:pPr>
            <w:r>
              <w:rPr>
                <w:rFonts w:ascii="Calibri" w:cs="Calibri" w:eastAsia="Calibri" w:hAnsi="Calibri"/>
                <w:sz w:val="20"/>
                <w:szCs w:val="20"/>
              </w:rPr>
              <w:t xml:space="preserve">Eight distinct discrepancies (3 inaccuracies, 5 additions) change the clinical record, and four High-severity discrepancies turn a documented negative or normal finding into a positive or abnormal one: cough (E2-3), truncal rash (E2-5), exertional chest tightness (E3-1/E3-3), and diminished pedal pulses (E3-6). If signed, these would remove a strep diagnostic criterion, suggest scarlet fever or confuse assessment of any later amoxicillin rash, document an unaddressed anginal-type symptom in a diabetic patient, and imply peripheral arterial disease.</w:t>
            </w:r>
          </w:p>
        </w:tc>
      </w:tr>
    </w:tbl>
    <w:p>
      <w:pPr>
        <w:spacing w:after="100" w:before="220"/>
      </w:pPr>
      <w:r>
        <w:rPr>
          <w:rFonts w:ascii="Calibri" w:cs="Calibri" w:eastAsia="Calibri" w:hAnsi="Calibri"/>
          <w:b/>
          <w:bCs/>
          <w:color w:val="1B6FB8"/>
          <w:sz w:val="22"/>
          <w:szCs w:val="22"/>
        </w:rPr>
        <w:t xml:space="preserve">Completeness</w:t>
      </w:r>
    </w:p>
    <w:tbl>
      <w:tblPr>
        <w:tblW w:type="dxa" w:w="10030"/>
        <w:tblBorders>
          <w:top w:val="single" w:color="auto" w:sz="4"/>
          <w:left w:val="single" w:color="auto" w:sz="4"/>
          <w:bottom w:val="single" w:color="auto" w:sz="4"/>
          <w:right w:val="single" w:color="auto" w:sz="4"/>
          <w:insideH w:val="single" w:color="auto" w:sz="4"/>
          <w:insideV w:val="single" w:color="auto" w:sz="4"/>
        </w:tblBorders>
      </w:tblPr>
      <w:tblGrid>
        <w:gridCol w:w="2400"/>
        <w:gridCol w:w="7630"/>
      </w:tblGrid>
      <w:tr>
        <w:tc>
          <w:tcPr>
            <w:tcW w:type="dxa" w:w="2400"/>
            <w:tcBorders>
              <w:top w:val="single" w:color="C9C9C0" w:sz="4"/>
              <w:left w:val="single" w:color="C9C9C0" w:sz="4"/>
              <w:bottom w:val="single" w:color="C9C9C0" w:sz="4"/>
              <w:right w:val="single" w:color="C9C9C0" w:sz="4"/>
            </w:tcBorders>
            <w:shd w:fill="F1EFE8"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sz w:val="21"/>
                <w:szCs w:val="21"/>
              </w:rPr>
              <w:t xml:space="preserve">Rating (Met / Partially Met / Not Met):</w:t>
            </w:r>
          </w:p>
        </w:tc>
        <w:tc>
          <w:tcPr>
            <w:tcW w:type="dxa" w:w="7630"/>
            <w:tcBorders>
              <w:top w:val="single" w:color="C9C9C0" w:sz="4"/>
              <w:left w:val="single" w:color="C9C9C0" w:sz="4"/>
              <w:bottom w:val="single" w:color="C9C9C0" w:sz="4"/>
              <w:right w:val="single" w:color="C9C9C0" w:sz="4"/>
            </w:tcBorders>
            <w:tcMar>
              <w:top w:type="dxa" w:w="200"/>
              <w:left w:type="dxa" w:w="120"/>
              <w:bottom w:type="dxa" w:w="200"/>
              <w:right w:type="dxa" w:w="120"/>
            </w:tcMar>
            <w:vAlign w:val="center"/>
          </w:tcPr>
          <w:p>
            <w:pPr>
              <w:spacing w:after="0"/>
            </w:pPr>
            <w:r>
              <w:rPr>
                <w:rFonts w:ascii="Calibri" w:cs="Calibri" w:eastAsia="Calibri" w:hAnsi="Calibri"/>
                <w:b/>
                <w:bCs/>
                <w:color w:val="1B3A5C"/>
                <w:sz w:val="21"/>
                <w:szCs w:val="21"/>
              </w:rPr>
              <w:t xml:space="preserve">Partially Met</w:t>
            </w:r>
          </w:p>
        </w:tc>
      </w:tr>
      <w:tr>
        <w:tc>
          <w:tcPr>
            <w:tcW w:type="dxa" w:w="2400"/>
            <w:tcBorders>
              <w:top w:val="single" w:color="C9C9C0" w:sz="4"/>
              <w:left w:val="single" w:color="C9C9C0" w:sz="4"/>
              <w:bottom w:val="single" w:color="C9C9C0" w:sz="4"/>
              <w:right w:val="single" w:color="C9C9C0" w:sz="4"/>
            </w:tcBorders>
            <w:shd w:fill="F1EFE8"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sz w:val="21"/>
                <w:szCs w:val="21"/>
              </w:rPr>
              <w:t xml:space="preserve">Supporting Observation:</w:t>
            </w:r>
          </w:p>
        </w:tc>
        <w:tc>
          <w:tcPr>
            <w:tcW w:type="dxa" w:w="7630"/>
            <w:tcBorders>
              <w:top w:val="single" w:color="C9C9C0" w:sz="4"/>
              <w:left w:val="single" w:color="C9C9C0" w:sz="4"/>
              <w:bottom w:val="single" w:color="C9C9C0" w:sz="4"/>
              <w:right w:val="single" w:color="C9C9C0" w:sz="4"/>
            </w:tcBorders>
            <w:tcMar>
              <w:top w:type="dxa" w:w="200"/>
              <w:left w:type="dxa" w:w="120"/>
              <w:bottom w:type="dxa" w:w="200"/>
              <w:right w:type="dxa" w:w="120"/>
            </w:tcMar>
            <w:vAlign w:val="center"/>
          </w:tcPr>
          <w:p>
            <w:pPr>
              <w:spacing w:after="0"/>
            </w:pPr>
            <w:r>
              <w:rPr>
                <w:rFonts w:ascii="Calibri" w:cs="Calibri" w:eastAsia="Calibri" w:hAnsi="Calibri"/>
                <w:sz w:val="20"/>
                <w:szCs w:val="20"/>
              </w:rPr>
              <w:t xml:space="preserve">Most source content was captured correctly, including all vital signs, home readings, medication doses, and the conditional antibiotic plan. However, each note omitted its most decision-relevant history item, the household strep exposure (E2-1) and the new toe numbness that supports the neuropathy diagnosis (E3-2), and each Plan is missing a discussed item (E2-7, E3-10).</w:t>
            </w:r>
          </w:p>
        </w:tc>
      </w:tr>
    </w:tbl>
    <w:p>
      <w:pPr>
        <w:spacing w:after="100" w:before="220"/>
      </w:pPr>
      <w:r>
        <w:rPr>
          <w:rFonts w:ascii="Calibri" w:cs="Calibri" w:eastAsia="Calibri" w:hAnsi="Calibri"/>
          <w:b/>
          <w:bCs/>
          <w:color w:val="1B6FB8"/>
          <w:sz w:val="22"/>
          <w:szCs w:val="22"/>
        </w:rPr>
        <w:t xml:space="preserve">Structural Consistency</w:t>
      </w:r>
    </w:p>
    <w:tbl>
      <w:tblPr>
        <w:tblW w:type="dxa" w:w="10030"/>
        <w:tblBorders>
          <w:top w:val="single" w:color="auto" w:sz="4"/>
          <w:left w:val="single" w:color="auto" w:sz="4"/>
          <w:bottom w:val="single" w:color="auto" w:sz="4"/>
          <w:right w:val="single" w:color="auto" w:sz="4"/>
          <w:insideH w:val="single" w:color="auto" w:sz="4"/>
          <w:insideV w:val="single" w:color="auto" w:sz="4"/>
        </w:tblBorders>
      </w:tblPr>
      <w:tblGrid>
        <w:gridCol w:w="2400"/>
        <w:gridCol w:w="7630"/>
      </w:tblGrid>
      <w:tr>
        <w:tc>
          <w:tcPr>
            <w:tcW w:type="dxa" w:w="2400"/>
            <w:tcBorders>
              <w:top w:val="single" w:color="C9C9C0" w:sz="4"/>
              <w:left w:val="single" w:color="C9C9C0" w:sz="4"/>
              <w:bottom w:val="single" w:color="C9C9C0" w:sz="4"/>
              <w:right w:val="single" w:color="C9C9C0" w:sz="4"/>
            </w:tcBorders>
            <w:shd w:fill="F1EFE8"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sz w:val="21"/>
                <w:szCs w:val="21"/>
              </w:rPr>
              <w:t xml:space="preserve">Rating (Met / Partially Met / Not Met):</w:t>
            </w:r>
          </w:p>
        </w:tc>
        <w:tc>
          <w:tcPr>
            <w:tcW w:type="dxa" w:w="7630"/>
            <w:tcBorders>
              <w:top w:val="single" w:color="C9C9C0" w:sz="4"/>
              <w:left w:val="single" w:color="C9C9C0" w:sz="4"/>
              <w:bottom w:val="single" w:color="C9C9C0" w:sz="4"/>
              <w:right w:val="single" w:color="C9C9C0" w:sz="4"/>
            </w:tcBorders>
            <w:tcMar>
              <w:top w:type="dxa" w:w="200"/>
              <w:left w:type="dxa" w:w="120"/>
              <w:bottom w:type="dxa" w:w="200"/>
              <w:right w:type="dxa" w:w="120"/>
            </w:tcMar>
            <w:vAlign w:val="center"/>
          </w:tcPr>
          <w:p>
            <w:pPr>
              <w:spacing w:after="0"/>
            </w:pPr>
            <w:r>
              <w:rPr>
                <w:rFonts w:ascii="Calibri" w:cs="Calibri" w:eastAsia="Calibri" w:hAnsi="Calibri"/>
                <w:b/>
                <w:bCs/>
                <w:color w:val="1B3A5C"/>
                <w:sz w:val="21"/>
                <w:szCs w:val="21"/>
              </w:rPr>
              <w:t xml:space="preserve">Partially Met</w:t>
            </w:r>
          </w:p>
        </w:tc>
      </w:tr>
      <w:tr>
        <w:tc>
          <w:tcPr>
            <w:tcW w:type="dxa" w:w="2400"/>
            <w:tcBorders>
              <w:top w:val="single" w:color="C9C9C0" w:sz="4"/>
              <w:left w:val="single" w:color="C9C9C0" w:sz="4"/>
              <w:bottom w:val="single" w:color="C9C9C0" w:sz="4"/>
              <w:right w:val="single" w:color="C9C9C0" w:sz="4"/>
            </w:tcBorders>
            <w:shd w:fill="F1EFE8"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sz w:val="21"/>
                <w:szCs w:val="21"/>
              </w:rPr>
              <w:t xml:space="preserve">Supporting Observation:</w:t>
            </w:r>
          </w:p>
        </w:tc>
        <w:tc>
          <w:tcPr>
            <w:tcW w:type="dxa" w:w="7630"/>
            <w:tcBorders>
              <w:top w:val="single" w:color="C9C9C0" w:sz="4"/>
              <w:left w:val="single" w:color="C9C9C0" w:sz="4"/>
              <w:bottom w:val="single" w:color="C9C9C0" w:sz="4"/>
              <w:right w:val="single" w:color="C9C9C0" w:sz="4"/>
            </w:tcBorders>
            <w:tcMar>
              <w:top w:type="dxa" w:w="200"/>
              <w:left w:type="dxa" w:w="120"/>
              <w:bottom w:type="dxa" w:w="200"/>
              <w:right w:type="dxa" w:w="120"/>
            </w:tcMar>
            <w:vAlign w:val="center"/>
          </w:tcPr>
          <w:p>
            <w:pPr>
              <w:spacing w:after="0"/>
            </w:pPr>
            <w:r>
              <w:rPr>
                <w:rFonts w:ascii="Calibri" w:cs="Calibri" w:eastAsia="Calibri" w:hAnsi="Calibri"/>
                <w:sz w:val="20"/>
                <w:szCs w:val="20"/>
              </w:rPr>
              <w:t xml:space="preserve">Both notes use the expected six-section structure in the correct order for their visit types. However, both placed plan content outside the Plan, with counseling in the HPI (E2-2) and the podiatry referral in the Assessment (E3-7), and the Encounter 2 ROS includes an exam-only finding (E2-4).</w:t>
            </w:r>
          </w:p>
        </w:tc>
      </w:tr>
    </w:tbl>
    <w:p>
      <w:pPr>
        <w:spacing w:after="100" w:before="220"/>
      </w:pPr>
      <w:r>
        <w:rPr>
          <w:rFonts w:ascii="Calibri" w:cs="Calibri" w:eastAsia="Calibri" w:hAnsi="Calibri"/>
          <w:b/>
          <w:bCs/>
          <w:color w:val="1B6FB8"/>
          <w:sz w:val="22"/>
          <w:szCs w:val="22"/>
        </w:rPr>
        <w:t xml:space="preserve">Improvement Recommendation 1 (Primary)</w:t>
      </w:r>
    </w:p>
    <w:tbl>
      <w:tblPr>
        <w:tblW w:type="dxa" w:w="10030"/>
        <w:tblBorders>
          <w:top w:val="single" w:color="auto" w:sz="4"/>
          <w:left w:val="single" w:color="auto" w:sz="4"/>
          <w:bottom w:val="single" w:color="auto" w:sz="4"/>
          <w:right w:val="single" w:color="auto" w:sz="4"/>
          <w:insideH w:val="single" w:color="auto" w:sz="4"/>
          <w:insideV w:val="single" w:color="auto" w:sz="4"/>
        </w:tblBorders>
      </w:tblPr>
      <w:tblGrid>
        <w:gridCol w:w="2400"/>
        <w:gridCol w:w="7630"/>
      </w:tblGrid>
      <w:tr>
        <w:tc>
          <w:tcPr>
            <w:tcW w:type="dxa" w:w="2400"/>
            <w:tcBorders>
              <w:top w:val="single" w:color="C9C9C0" w:sz="4"/>
              <w:left w:val="single" w:color="C9C9C0" w:sz="4"/>
              <w:bottom w:val="single" w:color="C9C9C0" w:sz="4"/>
              <w:right w:val="single" w:color="C9C9C0" w:sz="4"/>
            </w:tcBorders>
            <w:shd w:fill="F1EFE8"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sz w:val="21"/>
                <w:szCs w:val="21"/>
              </w:rPr>
              <w:t xml:space="preserve">Pattern Identified:</w:t>
            </w:r>
          </w:p>
        </w:tc>
        <w:tc>
          <w:tcPr>
            <w:tcW w:type="dxa" w:w="7630"/>
            <w:tcBorders>
              <w:top w:val="single" w:color="C9C9C0" w:sz="4"/>
              <w:left w:val="single" w:color="C9C9C0" w:sz="4"/>
              <w:bottom w:val="single" w:color="C9C9C0" w:sz="4"/>
              <w:right w:val="single" w:color="C9C9C0" w:sz="4"/>
            </w:tcBorders>
            <w:tcMar>
              <w:top w:type="dxa" w:w="200"/>
              <w:left w:type="dxa" w:w="120"/>
              <w:bottom w:type="dxa" w:w="200"/>
              <w:right w:type="dxa" w:w="120"/>
            </w:tcMar>
            <w:vAlign w:val="center"/>
          </w:tcPr>
          <w:p>
            <w:pPr>
              <w:spacing w:after="0"/>
            </w:pPr>
            <w:r>
              <w:rPr>
                <w:rFonts w:ascii="Calibri" w:cs="Calibri" w:eastAsia="Calibri" w:hAnsi="Calibri"/>
                <w:sz w:val="20"/>
                <w:szCs w:val="20"/>
              </w:rPr>
              <w:t xml:space="preserve">Reversal of documented negative or normal findings. Four distinct discrepancies (five entries) convert a negative or normal finding into a positive or abnormal one: E2-3, E2-5, E3-1/E3-3, E3-6. They occur in both notes and in three section types (HPI, ROS, Physical Examination), all are rated High severity, and two (E2-3, E2-5) make the draft contradict itself.</w:t>
            </w:r>
          </w:p>
        </w:tc>
      </w:tr>
      <w:tr>
        <w:tc>
          <w:tcPr>
            <w:tcW w:type="dxa" w:w="2400"/>
            <w:tcBorders>
              <w:top w:val="single" w:color="C9C9C0" w:sz="4"/>
              <w:left w:val="single" w:color="C9C9C0" w:sz="4"/>
              <w:bottom w:val="single" w:color="C9C9C0" w:sz="4"/>
              <w:right w:val="single" w:color="C9C9C0" w:sz="4"/>
            </w:tcBorders>
            <w:shd w:fill="F1EFE8"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sz w:val="21"/>
                <w:szCs w:val="21"/>
              </w:rPr>
              <w:t xml:space="preserve">Why It Matters:</w:t>
            </w:r>
          </w:p>
        </w:tc>
        <w:tc>
          <w:tcPr>
            <w:tcW w:type="dxa" w:w="7630"/>
            <w:tcBorders>
              <w:top w:val="single" w:color="C9C9C0" w:sz="4"/>
              <w:left w:val="single" w:color="C9C9C0" w:sz="4"/>
              <w:bottom w:val="single" w:color="C9C9C0" w:sz="4"/>
              <w:right w:val="single" w:color="C9C9C0" w:sz="4"/>
            </w:tcBorders>
            <w:tcMar>
              <w:top w:type="dxa" w:w="200"/>
              <w:left w:type="dxa" w:w="120"/>
              <w:bottom w:type="dxa" w:w="200"/>
              <w:right w:type="dxa" w:w="120"/>
            </w:tcMar>
            <w:vAlign w:val="center"/>
          </w:tcPr>
          <w:p>
            <w:pPr>
              <w:spacing w:after="0"/>
            </w:pPr>
            <w:r>
              <w:rPr>
                <w:rFonts w:ascii="Calibri" w:cs="Calibri" w:eastAsia="Calibri" w:hAnsi="Calibri"/>
                <w:sz w:val="20"/>
                <w:szCs w:val="20"/>
              </w:rPr>
              <w:t xml:space="preserve">A false positive finding is harder to catch than a gap because it reads as plausible clinical content, and once signed it becomes part of the legal medical record. These entries alter diagnostic criteria, document symptoms that have no matching assessment or plan (a compliance and liability gap), and could appear to support diagnoses or services the encounter did not justify.</w:t>
            </w:r>
          </w:p>
        </w:tc>
      </w:tr>
      <w:tr>
        <w:tc>
          <w:tcPr>
            <w:tcW w:type="dxa" w:w="2400"/>
            <w:tcBorders>
              <w:top w:val="single" w:color="C9C9C0" w:sz="4"/>
              <w:left w:val="single" w:color="C9C9C0" w:sz="4"/>
              <w:bottom w:val="single" w:color="C9C9C0" w:sz="4"/>
              <w:right w:val="single" w:color="C9C9C0" w:sz="4"/>
            </w:tcBorders>
            <w:shd w:fill="F1EFE8"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sz w:val="21"/>
                <w:szCs w:val="21"/>
              </w:rPr>
              <w:t xml:space="preserve">Proposed Corrective Action:</w:t>
            </w:r>
          </w:p>
        </w:tc>
        <w:tc>
          <w:tcPr>
            <w:tcW w:type="dxa" w:w="7630"/>
            <w:tcBorders>
              <w:top w:val="single" w:color="C9C9C0" w:sz="4"/>
              <w:left w:val="single" w:color="C9C9C0" w:sz="4"/>
              <w:bottom w:val="single" w:color="C9C9C0" w:sz="4"/>
              <w:right w:val="single" w:color="C9C9C0" w:sz="4"/>
            </w:tcBorders>
            <w:tcMar>
              <w:top w:type="dxa" w:w="200"/>
              <w:left w:type="dxa" w:w="120"/>
              <w:bottom w:type="dxa" w:w="200"/>
              <w:right w:type="dxa" w:w="120"/>
            </w:tcMar>
            <w:vAlign w:val="center"/>
          </w:tcPr>
          <w:p>
            <w:pPr>
              <w:spacing w:after="60"/>
            </w:pPr>
            <w:r>
              <w:rPr>
                <w:rFonts w:ascii="Calibri" w:cs="Calibri" w:eastAsia="Calibri" w:hAnsi="Calibri"/>
                <w:b/>
                <w:bCs/>
                <w:sz w:val="20"/>
                <w:szCs w:val="20"/>
              </w:rPr>
              <w:t xml:space="preserve">1. </w:t>
            </w:r>
            <w:r>
              <w:rPr>
                <w:rFonts w:ascii="Calibri" w:cs="Calibri" w:eastAsia="Calibri" w:hAnsi="Calibri"/>
                <w:sz w:val="20"/>
                <w:szCs w:val="20"/>
              </w:rPr>
              <w:t xml:space="preserve">Add a mandatory pre-signature step: the provider checks every positive symptom and abnormal exam finding against the encounter evidence, starting with the items flagged in Component 1 (cough and rash for acute visits; chest pain, numbness, and pedal pulses for chronic-care follow-ups).</w:t>
            </w:r>
          </w:p>
          <w:p>
            <w:pPr>
              <w:spacing w:after="60"/>
            </w:pPr>
            <w:r>
              <w:rPr>
                <w:rFonts w:ascii="Calibri" w:cs="Calibri" w:eastAsia="Calibri" w:hAnsi="Calibri"/>
                <w:b/>
                <w:bCs/>
                <w:sz w:val="20"/>
                <w:szCs w:val="20"/>
              </w:rPr>
              <w:t xml:space="preserve">2. </w:t>
            </w:r>
            <w:r>
              <w:rPr>
                <w:rFonts w:ascii="Calibri" w:cs="Calibri" w:eastAsia="Calibri" w:hAnsi="Calibri"/>
                <w:sz w:val="20"/>
                <w:szCs w:val="20"/>
              </w:rPr>
              <w:t xml:space="preserve">Add a contradiction screen to the quality team’s review that flags any finding recorded as both present and absent in the same note (this would have caught E2-3 and E2-5).</w:t>
            </w:r>
          </w:p>
          <w:p>
            <w:pPr>
              <w:spacing w:after="60"/>
            </w:pPr>
            <w:r>
              <w:rPr>
                <w:rFonts w:ascii="Calibri" w:cs="Calibri" w:eastAsia="Calibri" w:hAnsi="Calibri"/>
                <w:b/>
                <w:bCs/>
                <w:sz w:val="20"/>
                <w:szCs w:val="20"/>
              </w:rPr>
              <w:t xml:space="preserve">3. </w:t>
            </w:r>
            <w:r>
              <w:rPr>
                <w:rFonts w:ascii="Calibri" w:cs="Calibri" w:eastAsia="Calibri" w:hAnsi="Calibri"/>
                <w:sz w:val="20"/>
                <w:szCs w:val="20"/>
              </w:rPr>
              <w:t xml:space="preserve">Audit all Dragon Copilot notes for these reversals for 30 days, report the rate to the clinic director, and send examples to the configuration owner; then move to a 10% weekly sample once four consecutive weeks show no reversals.</w:t>
            </w:r>
          </w:p>
        </w:tc>
      </w:tr>
    </w:tbl>
    <w:p>
      <w:pPr>
        <w:spacing w:after="100" w:before="220"/>
      </w:pPr>
      <w:r>
        <w:rPr>
          <w:rFonts w:ascii="Calibri" w:cs="Calibri" w:eastAsia="Calibri" w:hAnsi="Calibri"/>
          <w:b/>
          <w:bCs/>
          <w:color w:val="1B6FB8"/>
          <w:sz w:val="22"/>
          <w:szCs w:val="22"/>
        </w:rPr>
        <w:t xml:space="preserve">Improvement Recommendation 2</w:t>
      </w:r>
    </w:p>
    <w:tbl>
      <w:tblPr>
        <w:tblW w:type="dxa" w:w="10030"/>
        <w:tblBorders>
          <w:top w:val="single" w:color="auto" w:sz="4"/>
          <w:left w:val="single" w:color="auto" w:sz="4"/>
          <w:bottom w:val="single" w:color="auto" w:sz="4"/>
          <w:right w:val="single" w:color="auto" w:sz="4"/>
          <w:insideH w:val="single" w:color="auto" w:sz="4"/>
          <w:insideV w:val="single" w:color="auto" w:sz="4"/>
        </w:tblBorders>
      </w:tblPr>
      <w:tblGrid>
        <w:gridCol w:w="2400"/>
        <w:gridCol w:w="7630"/>
      </w:tblGrid>
      <w:tr>
        <w:tc>
          <w:tcPr>
            <w:tcW w:type="dxa" w:w="2400"/>
            <w:tcBorders>
              <w:top w:val="single" w:color="C9C9C0" w:sz="4"/>
              <w:left w:val="single" w:color="C9C9C0" w:sz="4"/>
              <w:bottom w:val="single" w:color="C9C9C0" w:sz="4"/>
              <w:right w:val="single" w:color="C9C9C0" w:sz="4"/>
            </w:tcBorders>
            <w:shd w:fill="F1EFE8"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sz w:val="21"/>
                <w:szCs w:val="21"/>
              </w:rPr>
              <w:t xml:space="preserve">Pattern Identified:</w:t>
            </w:r>
          </w:p>
        </w:tc>
        <w:tc>
          <w:tcPr>
            <w:tcW w:type="dxa" w:w="7630"/>
            <w:tcBorders>
              <w:top w:val="single" w:color="C9C9C0" w:sz="4"/>
              <w:left w:val="single" w:color="C9C9C0" w:sz="4"/>
              <w:bottom w:val="single" w:color="C9C9C0" w:sz="4"/>
              <w:right w:val="single" w:color="C9C9C0" w:sz="4"/>
            </w:tcBorders>
            <w:tcMar>
              <w:top w:type="dxa" w:w="200"/>
              <w:left w:type="dxa" w:w="120"/>
              <w:bottom w:type="dxa" w:w="200"/>
              <w:right w:type="dxa" w:w="120"/>
            </w:tcMar>
            <w:vAlign w:val="center"/>
          </w:tcPr>
          <w:p>
            <w:pPr>
              <w:spacing w:after="0"/>
            </w:pPr>
            <w:r>
              <w:rPr>
                <w:rFonts w:ascii="Calibri" w:cs="Calibri" w:eastAsia="Calibri" w:hAnsi="Calibri"/>
                <w:sz w:val="20"/>
                <w:szCs w:val="20"/>
              </w:rPr>
              <w:t xml:space="preserve">Plan items placed outside the Plan section in both notes: counseling in the HPI (E2-2/E2-7) and the podiatry referral in the Assessment (E3-7/E3-10).</w:t>
            </w:r>
          </w:p>
        </w:tc>
      </w:tr>
      <w:tr>
        <w:tc>
          <w:tcPr>
            <w:tcW w:type="dxa" w:w="2400"/>
            <w:tcBorders>
              <w:top w:val="single" w:color="C9C9C0" w:sz="4"/>
              <w:left w:val="single" w:color="C9C9C0" w:sz="4"/>
              <w:bottom w:val="single" w:color="C9C9C0" w:sz="4"/>
              <w:right w:val="single" w:color="C9C9C0" w:sz="4"/>
            </w:tcBorders>
            <w:shd w:fill="F1EFE8"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sz w:val="21"/>
                <w:szCs w:val="21"/>
              </w:rPr>
              <w:t xml:space="preserve">Why It Matters:</w:t>
            </w:r>
          </w:p>
        </w:tc>
        <w:tc>
          <w:tcPr>
            <w:tcW w:type="dxa" w:w="7630"/>
            <w:tcBorders>
              <w:top w:val="single" w:color="C9C9C0" w:sz="4"/>
              <w:left w:val="single" w:color="C9C9C0" w:sz="4"/>
              <w:bottom w:val="single" w:color="C9C9C0" w:sz="4"/>
              <w:right w:val="single" w:color="C9C9C0" w:sz="4"/>
            </w:tcBorders>
            <w:tcMar>
              <w:top w:type="dxa" w:w="200"/>
              <w:left w:type="dxa" w:w="120"/>
              <w:bottom w:type="dxa" w:w="200"/>
              <w:right w:type="dxa" w:w="120"/>
            </w:tcMar>
            <w:vAlign w:val="center"/>
          </w:tcPr>
          <w:p>
            <w:pPr>
              <w:spacing w:after="0"/>
            </w:pPr>
            <w:r>
              <w:rPr>
                <w:rFonts w:ascii="Calibri" w:cs="Calibri" w:eastAsia="Calibri" w:hAnsi="Calibri"/>
                <w:sz w:val="20"/>
                <w:szCs w:val="20"/>
              </w:rPr>
              <w:t xml:space="preserve">Staff act on orders and referrals from the Plan. A referral listed only in the Assessment may never be placed, and counseling missing from the Plan may not reach the patient’s visit instructions.</w:t>
            </w:r>
          </w:p>
        </w:tc>
      </w:tr>
      <w:tr>
        <w:tc>
          <w:tcPr>
            <w:tcW w:type="dxa" w:w="2400"/>
            <w:tcBorders>
              <w:top w:val="single" w:color="C9C9C0" w:sz="4"/>
              <w:left w:val="single" w:color="C9C9C0" w:sz="4"/>
              <w:bottom w:val="single" w:color="C9C9C0" w:sz="4"/>
              <w:right w:val="single" w:color="C9C9C0" w:sz="4"/>
            </w:tcBorders>
            <w:shd w:fill="F1EFE8" w:color="auto" w:val="clear"/>
            <w:tcMar>
              <w:top w:type="dxa" w:w="80"/>
              <w:left w:type="dxa" w:w="120"/>
              <w:bottom w:type="dxa" w:w="80"/>
              <w:right w:type="dxa" w:w="120"/>
            </w:tcMar>
            <w:vAlign w:val="center"/>
          </w:tcPr>
          <w:p>
            <w:pPr>
              <w:jc w:val="left"/>
            </w:pPr>
            <w:r>
              <w:rPr>
                <w:rFonts w:ascii="Calibri" w:cs="Calibri" w:eastAsia="Calibri" w:hAnsi="Calibri"/>
                <w:b/>
                <w:bCs/>
                <w:i w:val="false"/>
                <w:iCs w:val="false"/>
                <w:sz w:val="21"/>
                <w:szCs w:val="21"/>
              </w:rPr>
              <w:t xml:space="preserve">Proposed Corrective Action:</w:t>
            </w:r>
          </w:p>
        </w:tc>
        <w:tc>
          <w:tcPr>
            <w:tcW w:type="dxa" w:w="7630"/>
            <w:tcBorders>
              <w:top w:val="single" w:color="C9C9C0" w:sz="4"/>
              <w:left w:val="single" w:color="C9C9C0" w:sz="4"/>
              <w:bottom w:val="single" w:color="C9C9C0" w:sz="4"/>
              <w:right w:val="single" w:color="C9C9C0" w:sz="4"/>
            </w:tcBorders>
            <w:tcMar>
              <w:top w:type="dxa" w:w="200"/>
              <w:left w:type="dxa" w:w="120"/>
              <w:bottom w:type="dxa" w:w="200"/>
              <w:right w:type="dxa" w:w="120"/>
            </w:tcMar>
            <w:vAlign w:val="center"/>
          </w:tcPr>
          <w:p>
            <w:pPr>
              <w:spacing w:after="0"/>
            </w:pPr>
            <w:r>
              <w:rPr>
                <w:rFonts w:ascii="Calibri" w:cs="Calibri" w:eastAsia="Calibri" w:hAnsi="Calibri"/>
                <w:sz w:val="20"/>
                <w:szCs w:val="20"/>
              </w:rPr>
              <w:t xml:space="preserve">Enforce the Component 1 routing setting (orders, referrals, and counseling go to Plan only) on all templates, and add a review step that matches each item in the source’s “Assessment and Plan Discussed” list to a line in the Plan before signing.</w:t>
            </w:r>
          </w:p>
        </w:tc>
      </w:tr>
    </w:tbl>
    <w:p>
      <w:pPr>
        <w:spacing w:after="100" w:before="220"/>
      </w:pPr>
      <w:r>
        <w:rPr>
          <w:rFonts w:ascii="Calibri" w:cs="Calibri" w:eastAsia="Calibri" w:hAnsi="Calibri"/>
          <w:b/>
          <w:bCs/>
          <w:color w:val="1B6FB8"/>
          <w:sz w:val="22"/>
          <w:szCs w:val="22"/>
        </w:rPr>
        <w:t xml:space="preserve">Cross-Component Consistency Check</w:t>
      </w:r>
    </w:p>
    <w:p>
      <w:pPr>
        <w:spacing w:after="80"/>
      </w:pPr>
      <w:r>
        <w:rPr>
          <w:rFonts w:ascii="Calibri" w:cs="Calibri" w:eastAsia="Calibri" w:hAnsi="Calibri"/>
          <w:b/>
          <w:bCs/>
          <w:color w:val="1B3A5C"/>
          <w:sz w:val="20"/>
          <w:szCs w:val="20"/>
        </w:rPr>
        <w:t xml:space="preserve">Component 1 → 2: </w:t>
      </w:r>
      <w:r>
        <w:rPr>
          <w:rFonts w:ascii="Calibri" w:cs="Calibri" w:eastAsia="Calibri" w:hAnsi="Calibri"/>
          <w:sz w:val="20"/>
          <w:szCs w:val="20"/>
        </w:rPr>
        <w:t xml:space="preserve">The focus checks applied in each review come from that encounter’s capture settings, and the findings cluster in exactly those areas: finding status and exposure history (Encounter 2); new interval symptoms, foot-exam findings, and referral routing (Encounter 3). Encounter 1 is configured but not verified because it was signed earlier.</w:t>
      </w:r>
    </w:p>
    <w:p>
      <w:pPr>
        <w:spacing w:after="80"/>
      </w:pPr>
      <w:r>
        <w:rPr>
          <w:rFonts w:ascii="Calibri" w:cs="Calibri" w:eastAsia="Calibri" w:hAnsi="Calibri"/>
          <w:b/>
          <w:bCs/>
          <w:color w:val="1B3A5C"/>
          <w:sz w:val="20"/>
          <w:szCs w:val="20"/>
        </w:rPr>
        <w:t xml:space="preserve">Component 2 → 3: </w:t>
      </w:r>
      <w:r>
        <w:rPr>
          <w:rFonts w:ascii="Calibri" w:cs="Calibri" w:eastAsia="Calibri" w:hAnsi="Calibri"/>
          <w:sz w:val="20"/>
          <w:szCs w:val="20"/>
        </w:rPr>
        <w:t xml:space="preserve">Every rating cites entry IDs from the verification tables, and counts treat linked entries once.</w:t>
      </w:r>
    </w:p>
    <w:p>
      <w:pPr>
        <w:spacing w:after="80"/>
      </w:pPr>
      <w:r>
        <w:rPr>
          <w:rFonts w:ascii="Calibri" w:cs="Calibri" w:eastAsia="Calibri" w:hAnsi="Calibri"/>
          <w:b/>
          <w:bCs/>
          <w:color w:val="1B3A5C"/>
          <w:sz w:val="20"/>
          <w:szCs w:val="20"/>
        </w:rPr>
        <w:t xml:space="preserve">Component 3 → 1: </w:t>
      </w:r>
      <w:r>
        <w:rPr>
          <w:rFonts w:ascii="Calibri" w:cs="Calibri" w:eastAsia="Calibri" w:hAnsi="Calibri"/>
          <w:sz w:val="20"/>
          <w:szCs w:val="20"/>
        </w:rPr>
        <w:t xml:space="preserve">Recommendation 1 targets the findings prioritized in the Component 1 settings, and Recommendation 2 enforces the Component 1 routing setting.</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169"/>
        <w:sz w:val="16"/>
        <w:szCs w:val="16"/>
      </w:rPr>
      <w:t xml:space="preserve">Harborview Primary Care Clinic — Scenario Material — Synthetic Data for Training Use Only   |   Page </w:t>
    </w:r>
    <w:r>
      <w:rPr>
        <w:rFonts w:ascii="Calibri" w:cs="Calibri" w:eastAsia="Calibri" w:hAnsi="Calibri"/>
        <w:color w:val="5B61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2026-07-29T06:51:25.441Z</dcterms:created>
  <dcterms:modified xsi:type="dcterms:W3CDTF">2026-07-29T06:51:25.441Z</dcterms:modified>
</cp:coreProperties>
</file>

<file path=docProps/custom.xml><?xml version="1.0" encoding="utf-8"?>
<Properties xmlns="http://schemas.openxmlformats.org/officeDocument/2006/custom-properties" xmlns:vt="http://schemas.openxmlformats.org/officeDocument/2006/docPropsVTypes"/>
</file>