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81D6" w14:textId="77777777" w:rsidR="00B035DC" w:rsidRDefault="00AE4A6B" w:rsidP="00AE4A6B">
      <w:pPr>
        <w:pStyle w:val="Title"/>
      </w:pPr>
      <w:r>
        <w:t>Annual Revenue Report</w:t>
      </w:r>
    </w:p>
    <w:p w14:paraId="3022AE0F" w14:textId="77777777" w:rsidR="00AE4A6B" w:rsidRDefault="00AE4A6B"/>
    <w:tbl>
      <w:tblPr>
        <w:tblStyle w:val="TableGrid"/>
        <w:tblW w:w="10340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1215"/>
        <w:gridCol w:w="1553"/>
        <w:gridCol w:w="1558"/>
        <w:gridCol w:w="1399"/>
        <w:gridCol w:w="1146"/>
        <w:gridCol w:w="1146"/>
        <w:gridCol w:w="1650"/>
      </w:tblGrid>
      <w:tr w:rsidR="00DF4E40" w14:paraId="32D7A6BB" w14:textId="77777777" w:rsidTr="007F3A71">
        <w:tc>
          <w:tcPr>
            <w:tcW w:w="673" w:type="dxa"/>
            <w:vMerge w:val="restart"/>
            <w:textDirection w:val="btLr"/>
          </w:tcPr>
          <w:p w14:paraId="3D7C3B95" w14:textId="77777777" w:rsidR="00DF4E40" w:rsidRPr="00DF4E40" w:rsidRDefault="00DF4E40" w:rsidP="00DF4E40">
            <w:pPr>
              <w:pStyle w:val="Subtitle"/>
              <w:rPr>
                <w:i/>
                <w:iCs/>
                <w:color w:val="404040" w:themeColor="text1" w:themeTint="BF"/>
              </w:rPr>
            </w:pPr>
            <w:r w:rsidRPr="000D0D9A">
              <w:rPr>
                <w:rStyle w:val="SubtleEmphasis"/>
              </w:rPr>
              <w:t>Acme Travel Agency</w:t>
            </w:r>
          </w:p>
        </w:tc>
        <w:tc>
          <w:tcPr>
            <w:tcW w:w="9667" w:type="dxa"/>
            <w:gridSpan w:val="7"/>
          </w:tcPr>
          <w:p w14:paraId="62069D91" w14:textId="77777777" w:rsidR="00DF4E40" w:rsidRPr="00DF4E40" w:rsidRDefault="00DF4E40" w:rsidP="00DF4E40">
            <w:pPr>
              <w:jc w:val="center"/>
              <w:rPr>
                <w:i/>
              </w:rPr>
            </w:pPr>
            <w:r w:rsidRPr="00DF4E40">
              <w:rPr>
                <w:i/>
                <w:sz w:val="32"/>
              </w:rPr>
              <w:t>Summary by Region</w:t>
            </w:r>
          </w:p>
        </w:tc>
      </w:tr>
      <w:tr w:rsidR="00DF4E40" w14:paraId="0D36BC7B" w14:textId="77777777" w:rsidTr="007F3A71">
        <w:tc>
          <w:tcPr>
            <w:tcW w:w="673" w:type="dxa"/>
            <w:vMerge/>
          </w:tcPr>
          <w:p w14:paraId="162432B9" w14:textId="77777777" w:rsidR="00DF4E40" w:rsidRDefault="00DF4E40"/>
        </w:tc>
        <w:tc>
          <w:tcPr>
            <w:tcW w:w="1215" w:type="dxa"/>
          </w:tcPr>
          <w:p w14:paraId="05BA8E12" w14:textId="77777777" w:rsidR="00DF4E40" w:rsidRPr="00AE4A6B" w:rsidRDefault="00DF4E40">
            <w:r>
              <w:t>Period</w:t>
            </w:r>
          </w:p>
        </w:tc>
        <w:tc>
          <w:tcPr>
            <w:tcW w:w="1553" w:type="dxa"/>
          </w:tcPr>
          <w:p w14:paraId="60E8F81E" w14:textId="77777777" w:rsidR="00DF4E40" w:rsidRDefault="00DF4E40">
            <w:r>
              <w:t>N. America</w:t>
            </w:r>
          </w:p>
        </w:tc>
        <w:tc>
          <w:tcPr>
            <w:tcW w:w="1558" w:type="dxa"/>
          </w:tcPr>
          <w:p w14:paraId="64837DD9" w14:textId="77777777" w:rsidR="00DF4E40" w:rsidRDefault="00DF4E40">
            <w:r>
              <w:t>S. America</w:t>
            </w:r>
          </w:p>
        </w:tc>
        <w:tc>
          <w:tcPr>
            <w:tcW w:w="0" w:type="auto"/>
          </w:tcPr>
          <w:p w14:paraId="237FDDB4" w14:textId="77777777" w:rsidR="00DF4E40" w:rsidRDefault="00DF4E40">
            <w:r>
              <w:t>Caribbean</w:t>
            </w:r>
          </w:p>
        </w:tc>
        <w:tc>
          <w:tcPr>
            <w:tcW w:w="0" w:type="auto"/>
          </w:tcPr>
          <w:p w14:paraId="7B68FD22" w14:textId="77777777" w:rsidR="00DF4E40" w:rsidRDefault="00DF4E40">
            <w:r>
              <w:t>Europe</w:t>
            </w:r>
          </w:p>
        </w:tc>
        <w:tc>
          <w:tcPr>
            <w:tcW w:w="0" w:type="auto"/>
          </w:tcPr>
          <w:p w14:paraId="05C3EAC8" w14:textId="77777777" w:rsidR="00DF4E40" w:rsidRDefault="00DF4E40">
            <w:r>
              <w:t>Asia</w:t>
            </w:r>
          </w:p>
        </w:tc>
        <w:tc>
          <w:tcPr>
            <w:tcW w:w="1650" w:type="dxa"/>
          </w:tcPr>
          <w:p w14:paraId="48129DA6" w14:textId="77777777" w:rsidR="00DF4E40" w:rsidRDefault="00DF4E40" w:rsidP="00AE4A6B">
            <w:r>
              <w:t>Australia/NZ</w:t>
            </w:r>
          </w:p>
        </w:tc>
      </w:tr>
      <w:tr w:rsidR="00DF4E40" w14:paraId="29A67F6F" w14:textId="77777777" w:rsidTr="007F3A71">
        <w:tc>
          <w:tcPr>
            <w:tcW w:w="673" w:type="dxa"/>
            <w:vMerge/>
          </w:tcPr>
          <w:p w14:paraId="07E95FA1" w14:textId="77777777" w:rsidR="00DF4E40" w:rsidRDefault="00DF4E40" w:rsidP="006E2130"/>
        </w:tc>
        <w:tc>
          <w:tcPr>
            <w:tcW w:w="1215" w:type="dxa"/>
            <w:vAlign w:val="bottom"/>
          </w:tcPr>
          <w:p w14:paraId="1F0645A8" w14:textId="77777777" w:rsidR="00DF4E40" w:rsidRPr="00AE4A6B" w:rsidRDefault="00DF4E40" w:rsidP="006E2130">
            <w:r>
              <w:t>Q1 2025</w:t>
            </w:r>
          </w:p>
        </w:tc>
        <w:tc>
          <w:tcPr>
            <w:tcW w:w="1553" w:type="dxa"/>
          </w:tcPr>
          <w:p w14:paraId="4EAB1147" w14:textId="77777777" w:rsidR="00DF4E40" w:rsidRPr="00D128BA" w:rsidRDefault="00DF4E40" w:rsidP="006E2130">
            <w:r w:rsidRPr="00D128BA">
              <w:t>$139,158</w:t>
            </w:r>
          </w:p>
        </w:tc>
        <w:tc>
          <w:tcPr>
            <w:tcW w:w="1558" w:type="dxa"/>
          </w:tcPr>
          <w:p w14:paraId="13C2A311" w14:textId="77777777" w:rsidR="00DF4E40" w:rsidRPr="00D128BA" w:rsidRDefault="00DF4E40" w:rsidP="006E2130">
            <w:r w:rsidRPr="00D128BA">
              <w:t>$151,642</w:t>
            </w:r>
          </w:p>
        </w:tc>
        <w:tc>
          <w:tcPr>
            <w:tcW w:w="0" w:type="auto"/>
            <w:vAlign w:val="center"/>
          </w:tcPr>
          <w:p w14:paraId="2CF68796" w14:textId="77777777" w:rsidR="00DF4E40" w:rsidRDefault="00DF4E40" w:rsidP="006E2130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$196,386</w:t>
            </w:r>
          </w:p>
        </w:tc>
        <w:tc>
          <w:tcPr>
            <w:tcW w:w="0" w:type="auto"/>
          </w:tcPr>
          <w:p w14:paraId="08BC591E" w14:textId="77777777" w:rsidR="00DF4E40" w:rsidRPr="00D128BA" w:rsidRDefault="00DF4E40" w:rsidP="006E2130">
            <w:r w:rsidRPr="00D128BA">
              <w:t>$191,292</w:t>
            </w:r>
          </w:p>
        </w:tc>
        <w:tc>
          <w:tcPr>
            <w:tcW w:w="0" w:type="auto"/>
          </w:tcPr>
          <w:p w14:paraId="3CB37C49" w14:textId="77777777" w:rsidR="00DF4E40" w:rsidRPr="00D128BA" w:rsidRDefault="00DF4E40" w:rsidP="006E2130">
            <w:r w:rsidRPr="00D128BA">
              <w:t>$157,967</w:t>
            </w:r>
          </w:p>
        </w:tc>
        <w:tc>
          <w:tcPr>
            <w:tcW w:w="1650" w:type="dxa"/>
          </w:tcPr>
          <w:p w14:paraId="4CB3D2B0" w14:textId="77777777" w:rsidR="00DF4E40" w:rsidRDefault="00DF4E40" w:rsidP="006E2130">
            <w:r w:rsidRPr="00D128BA">
              <w:t>$100,852</w:t>
            </w:r>
          </w:p>
        </w:tc>
      </w:tr>
      <w:tr w:rsidR="00DF4E40" w14:paraId="1901F02A" w14:textId="77777777" w:rsidTr="007F3A71">
        <w:tc>
          <w:tcPr>
            <w:tcW w:w="673" w:type="dxa"/>
            <w:vMerge/>
          </w:tcPr>
          <w:p w14:paraId="73738277" w14:textId="77777777" w:rsidR="00DF4E40" w:rsidRDefault="00DF4E40" w:rsidP="00E54F14"/>
        </w:tc>
        <w:tc>
          <w:tcPr>
            <w:tcW w:w="1215" w:type="dxa"/>
            <w:vAlign w:val="bottom"/>
          </w:tcPr>
          <w:p w14:paraId="3160F176" w14:textId="77777777" w:rsidR="00DF4E40" w:rsidRPr="00AE4A6B" w:rsidRDefault="00DF4E40" w:rsidP="00E54F14">
            <w:r>
              <w:t>Q2 2025</w:t>
            </w:r>
          </w:p>
        </w:tc>
        <w:tc>
          <w:tcPr>
            <w:tcW w:w="1553" w:type="dxa"/>
          </w:tcPr>
          <w:p w14:paraId="6F1C1ACC" w14:textId="77777777" w:rsidR="00DF4E40" w:rsidRPr="00D128BA" w:rsidRDefault="00DF4E40" w:rsidP="00E54F14">
            <w:r w:rsidRPr="00D128BA">
              <w:t>$114,752</w:t>
            </w:r>
          </w:p>
        </w:tc>
        <w:tc>
          <w:tcPr>
            <w:tcW w:w="1558" w:type="dxa"/>
          </w:tcPr>
          <w:p w14:paraId="243D09A2" w14:textId="77777777" w:rsidR="00DF4E40" w:rsidRPr="00D128BA" w:rsidRDefault="00DF4E40" w:rsidP="00E54F14">
            <w:r w:rsidRPr="00D128BA">
              <w:t>$97,876</w:t>
            </w:r>
          </w:p>
        </w:tc>
        <w:tc>
          <w:tcPr>
            <w:tcW w:w="0" w:type="auto"/>
            <w:vAlign w:val="center"/>
          </w:tcPr>
          <w:p w14:paraId="54A759B3" w14:textId="77777777" w:rsidR="00DF4E40" w:rsidRDefault="00DF4E40" w:rsidP="00E54F14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$229,292</w:t>
            </w:r>
          </w:p>
        </w:tc>
        <w:tc>
          <w:tcPr>
            <w:tcW w:w="0" w:type="auto"/>
          </w:tcPr>
          <w:p w14:paraId="33291DAA" w14:textId="77777777" w:rsidR="00DF4E40" w:rsidRPr="00D128BA" w:rsidRDefault="00DF4E40" w:rsidP="00E54F14">
            <w:r w:rsidRPr="00D128BA">
              <w:t>$167,120</w:t>
            </w:r>
          </w:p>
        </w:tc>
        <w:tc>
          <w:tcPr>
            <w:tcW w:w="0" w:type="auto"/>
          </w:tcPr>
          <w:p w14:paraId="4B63E357" w14:textId="77777777" w:rsidR="00DF4E40" w:rsidRPr="00D128BA" w:rsidRDefault="00DF4E40" w:rsidP="00E54F14">
            <w:r w:rsidRPr="00D128BA">
              <w:t>$68,512</w:t>
            </w:r>
          </w:p>
        </w:tc>
        <w:tc>
          <w:tcPr>
            <w:tcW w:w="1650" w:type="dxa"/>
          </w:tcPr>
          <w:p w14:paraId="52155F9D" w14:textId="77777777" w:rsidR="00DF4E40" w:rsidRPr="00D128BA" w:rsidRDefault="00DF4E40" w:rsidP="00E54F14">
            <w:r w:rsidRPr="00D128BA">
              <w:t>$92,396</w:t>
            </w:r>
          </w:p>
        </w:tc>
      </w:tr>
      <w:tr w:rsidR="00DF4E40" w14:paraId="7B6E1143" w14:textId="77777777" w:rsidTr="007F3A71">
        <w:tc>
          <w:tcPr>
            <w:tcW w:w="673" w:type="dxa"/>
            <w:vMerge/>
          </w:tcPr>
          <w:p w14:paraId="7A6744D6" w14:textId="77777777" w:rsidR="00DF4E40" w:rsidRDefault="00DF4E40" w:rsidP="00A711CE"/>
        </w:tc>
        <w:tc>
          <w:tcPr>
            <w:tcW w:w="1215" w:type="dxa"/>
            <w:vAlign w:val="bottom"/>
          </w:tcPr>
          <w:p w14:paraId="66C8ADD1" w14:textId="77777777" w:rsidR="00DF4E40" w:rsidRPr="00AE4A6B" w:rsidRDefault="00DF4E40" w:rsidP="00A711CE">
            <w:r>
              <w:t>Q3 2025</w:t>
            </w:r>
          </w:p>
        </w:tc>
        <w:tc>
          <w:tcPr>
            <w:tcW w:w="1553" w:type="dxa"/>
          </w:tcPr>
          <w:p w14:paraId="3BC1104E" w14:textId="77777777" w:rsidR="00DF4E40" w:rsidRPr="00D128BA" w:rsidRDefault="00DF4E40" w:rsidP="006342D5">
            <w:r w:rsidRPr="00D128BA">
              <w:t>$230,743</w:t>
            </w:r>
          </w:p>
        </w:tc>
        <w:tc>
          <w:tcPr>
            <w:tcW w:w="1558" w:type="dxa"/>
          </w:tcPr>
          <w:p w14:paraId="789B50F5" w14:textId="77777777" w:rsidR="00DF4E40" w:rsidRPr="00D128BA" w:rsidRDefault="00DF4E40" w:rsidP="006342D5">
            <w:r w:rsidRPr="00D128BA">
              <w:t>$191,430</w:t>
            </w:r>
          </w:p>
        </w:tc>
        <w:tc>
          <w:tcPr>
            <w:tcW w:w="0" w:type="auto"/>
            <w:vAlign w:val="center"/>
          </w:tcPr>
          <w:p w14:paraId="797DB1EC" w14:textId="77777777" w:rsidR="00DF4E40" w:rsidRDefault="00DF4E40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$176,708</w:t>
            </w:r>
          </w:p>
        </w:tc>
        <w:tc>
          <w:tcPr>
            <w:tcW w:w="0" w:type="auto"/>
          </w:tcPr>
          <w:p w14:paraId="661FB2BA" w14:textId="77777777" w:rsidR="00DF4E40" w:rsidRPr="00D128BA" w:rsidRDefault="00DF4E40" w:rsidP="006342D5">
            <w:r w:rsidRPr="00D128BA">
              <w:t>$96,240</w:t>
            </w:r>
          </w:p>
        </w:tc>
        <w:tc>
          <w:tcPr>
            <w:tcW w:w="0" w:type="auto"/>
          </w:tcPr>
          <w:p w14:paraId="69187D7B" w14:textId="77777777" w:rsidR="00DF4E40" w:rsidRPr="00D128BA" w:rsidRDefault="00DF4E40" w:rsidP="006342D5">
            <w:r w:rsidRPr="00D128BA">
              <w:t>$110,586</w:t>
            </w:r>
          </w:p>
        </w:tc>
        <w:tc>
          <w:tcPr>
            <w:tcW w:w="1650" w:type="dxa"/>
          </w:tcPr>
          <w:p w14:paraId="6B92D7CF" w14:textId="77777777" w:rsidR="00DF4E40" w:rsidRPr="00D128BA" w:rsidRDefault="00DF4E40" w:rsidP="006342D5">
            <w:r w:rsidRPr="00D128BA">
              <w:t>$131,170</w:t>
            </w:r>
          </w:p>
        </w:tc>
      </w:tr>
      <w:tr w:rsidR="00DF4E40" w14:paraId="0ECB89A9" w14:textId="77777777" w:rsidTr="007F3A71">
        <w:tc>
          <w:tcPr>
            <w:tcW w:w="673" w:type="dxa"/>
            <w:vMerge/>
          </w:tcPr>
          <w:p w14:paraId="48993B4A" w14:textId="77777777" w:rsidR="00DF4E40" w:rsidRDefault="00DF4E40" w:rsidP="00A711CE"/>
        </w:tc>
        <w:tc>
          <w:tcPr>
            <w:tcW w:w="1215" w:type="dxa"/>
            <w:vAlign w:val="bottom"/>
          </w:tcPr>
          <w:p w14:paraId="39845AC7" w14:textId="77777777" w:rsidR="00DF4E40" w:rsidRPr="00AE4A6B" w:rsidRDefault="00DF4E40" w:rsidP="00A711CE">
            <w:r>
              <w:t>Q4 2025</w:t>
            </w:r>
          </w:p>
        </w:tc>
        <w:tc>
          <w:tcPr>
            <w:tcW w:w="1553" w:type="dxa"/>
          </w:tcPr>
          <w:p w14:paraId="259B566B" w14:textId="77777777" w:rsidR="00DF4E40" w:rsidRPr="00D128BA" w:rsidRDefault="00DF4E40" w:rsidP="006342D5">
            <w:r w:rsidRPr="00D128BA">
              <w:t>$194,789</w:t>
            </w:r>
          </w:p>
        </w:tc>
        <w:tc>
          <w:tcPr>
            <w:tcW w:w="1558" w:type="dxa"/>
          </w:tcPr>
          <w:p w14:paraId="534EFD58" w14:textId="77777777" w:rsidR="00DF4E40" w:rsidRPr="00D128BA" w:rsidRDefault="00DF4E40" w:rsidP="006342D5">
            <w:r w:rsidRPr="00D128BA">
              <w:t>$136,963</w:t>
            </w:r>
          </w:p>
        </w:tc>
        <w:tc>
          <w:tcPr>
            <w:tcW w:w="0" w:type="auto"/>
            <w:vAlign w:val="center"/>
          </w:tcPr>
          <w:p w14:paraId="1859F4D5" w14:textId="77777777" w:rsidR="00DF4E40" w:rsidRDefault="00DF4E40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$204,989</w:t>
            </w:r>
          </w:p>
        </w:tc>
        <w:tc>
          <w:tcPr>
            <w:tcW w:w="0" w:type="auto"/>
          </w:tcPr>
          <w:p w14:paraId="4E125D61" w14:textId="77777777" w:rsidR="00DF4E40" w:rsidRPr="00D128BA" w:rsidRDefault="00DF4E40" w:rsidP="006342D5">
            <w:r w:rsidRPr="00D128BA">
              <w:t>$118,295</w:t>
            </w:r>
          </w:p>
        </w:tc>
        <w:tc>
          <w:tcPr>
            <w:tcW w:w="0" w:type="auto"/>
          </w:tcPr>
          <w:p w14:paraId="31952F73" w14:textId="77777777" w:rsidR="00DF4E40" w:rsidRPr="00D128BA" w:rsidRDefault="00DF4E40" w:rsidP="006342D5">
            <w:r w:rsidRPr="00D128BA">
              <w:t>$79,586</w:t>
            </w:r>
          </w:p>
        </w:tc>
        <w:tc>
          <w:tcPr>
            <w:tcW w:w="1650" w:type="dxa"/>
          </w:tcPr>
          <w:p w14:paraId="434A271E" w14:textId="77777777" w:rsidR="00DF4E40" w:rsidRPr="00D128BA" w:rsidRDefault="00DF4E40" w:rsidP="006342D5">
            <w:r w:rsidRPr="00D128BA">
              <w:t>$170,378</w:t>
            </w:r>
          </w:p>
        </w:tc>
      </w:tr>
      <w:tr w:rsidR="00DF4E40" w14:paraId="5A690505" w14:textId="77777777" w:rsidTr="007F3A71">
        <w:tc>
          <w:tcPr>
            <w:tcW w:w="673" w:type="dxa"/>
            <w:vMerge/>
          </w:tcPr>
          <w:p w14:paraId="316CD11E" w14:textId="77777777" w:rsidR="00DF4E40" w:rsidRDefault="00DF4E40" w:rsidP="00A711CE"/>
        </w:tc>
        <w:tc>
          <w:tcPr>
            <w:tcW w:w="1215" w:type="dxa"/>
            <w:vAlign w:val="bottom"/>
          </w:tcPr>
          <w:p w14:paraId="369F32A2" w14:textId="77777777" w:rsidR="00DF4E40" w:rsidRPr="00AE4A6B" w:rsidRDefault="00DF4E40" w:rsidP="00A711CE">
            <w:r>
              <w:t>Q1 2026</w:t>
            </w:r>
          </w:p>
        </w:tc>
        <w:tc>
          <w:tcPr>
            <w:tcW w:w="1553" w:type="dxa"/>
          </w:tcPr>
          <w:p w14:paraId="14663650" w14:textId="77777777" w:rsidR="00DF4E40" w:rsidRPr="00D128BA" w:rsidRDefault="00DF4E40" w:rsidP="006342D5">
            <w:r w:rsidRPr="00D128BA">
              <w:t>$170,773</w:t>
            </w:r>
          </w:p>
        </w:tc>
        <w:tc>
          <w:tcPr>
            <w:tcW w:w="1558" w:type="dxa"/>
          </w:tcPr>
          <w:p w14:paraId="303E5D27" w14:textId="77777777" w:rsidR="00DF4E40" w:rsidRPr="00D128BA" w:rsidRDefault="00DF4E40" w:rsidP="006342D5">
            <w:r w:rsidRPr="00D128BA">
              <w:t>$222,247</w:t>
            </w:r>
          </w:p>
        </w:tc>
        <w:tc>
          <w:tcPr>
            <w:tcW w:w="0" w:type="auto"/>
            <w:vAlign w:val="center"/>
          </w:tcPr>
          <w:p w14:paraId="63885C96" w14:textId="77777777" w:rsidR="00DF4E40" w:rsidRDefault="00DF4E40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$174,036</w:t>
            </w:r>
          </w:p>
        </w:tc>
        <w:tc>
          <w:tcPr>
            <w:tcW w:w="0" w:type="auto"/>
          </w:tcPr>
          <w:p w14:paraId="0154C1E9" w14:textId="77777777" w:rsidR="00DF4E40" w:rsidRPr="00D128BA" w:rsidRDefault="00DF4E40" w:rsidP="006342D5">
            <w:r w:rsidRPr="00D128BA">
              <w:t>$174,952</w:t>
            </w:r>
          </w:p>
        </w:tc>
        <w:tc>
          <w:tcPr>
            <w:tcW w:w="0" w:type="auto"/>
          </w:tcPr>
          <w:p w14:paraId="2B9FABD6" w14:textId="77777777" w:rsidR="00DF4E40" w:rsidRPr="00D128BA" w:rsidRDefault="00DF4E40" w:rsidP="006342D5">
            <w:r w:rsidRPr="00D128BA">
              <w:t>$139,779</w:t>
            </w:r>
          </w:p>
        </w:tc>
        <w:tc>
          <w:tcPr>
            <w:tcW w:w="1650" w:type="dxa"/>
          </w:tcPr>
          <w:p w14:paraId="27900052" w14:textId="77777777" w:rsidR="00DF4E40" w:rsidRPr="00D128BA" w:rsidRDefault="00DF4E40" w:rsidP="006342D5">
            <w:r w:rsidRPr="00D128BA">
              <w:t>$168,186</w:t>
            </w:r>
          </w:p>
        </w:tc>
      </w:tr>
      <w:tr w:rsidR="00DF4E40" w14:paraId="7C83B39E" w14:textId="77777777" w:rsidTr="007F3A71">
        <w:tc>
          <w:tcPr>
            <w:tcW w:w="673" w:type="dxa"/>
            <w:vMerge/>
          </w:tcPr>
          <w:p w14:paraId="09F26DFE" w14:textId="77777777" w:rsidR="00DF4E40" w:rsidRDefault="00DF4E40" w:rsidP="00EE5B7B"/>
        </w:tc>
        <w:tc>
          <w:tcPr>
            <w:tcW w:w="1215" w:type="dxa"/>
            <w:vAlign w:val="bottom"/>
          </w:tcPr>
          <w:p w14:paraId="34726AE9" w14:textId="77777777" w:rsidR="00DF4E40" w:rsidRPr="00AE4A6B" w:rsidRDefault="00DF4E40" w:rsidP="00EE5B7B">
            <w:r>
              <w:t>Q2 2026</w:t>
            </w:r>
          </w:p>
        </w:tc>
        <w:tc>
          <w:tcPr>
            <w:tcW w:w="1553" w:type="dxa"/>
          </w:tcPr>
          <w:p w14:paraId="247C4AFB" w14:textId="77777777" w:rsidR="00DF4E40" w:rsidRPr="00D128BA" w:rsidRDefault="00DF4E40" w:rsidP="00EE5B7B">
            <w:r w:rsidRPr="00D128BA">
              <w:t>$128,058</w:t>
            </w:r>
          </w:p>
        </w:tc>
        <w:tc>
          <w:tcPr>
            <w:tcW w:w="1558" w:type="dxa"/>
          </w:tcPr>
          <w:p w14:paraId="4F554CF5" w14:textId="77777777" w:rsidR="00DF4E40" w:rsidRPr="00D128BA" w:rsidRDefault="00DF4E40" w:rsidP="00EE5B7B">
            <w:r w:rsidRPr="00D128BA">
              <w:t>$125,065</w:t>
            </w:r>
          </w:p>
        </w:tc>
        <w:tc>
          <w:tcPr>
            <w:tcW w:w="0" w:type="auto"/>
            <w:vAlign w:val="center"/>
          </w:tcPr>
          <w:p w14:paraId="167641AD" w14:textId="77777777" w:rsidR="00DF4E40" w:rsidRDefault="00DF4E40" w:rsidP="00EE5B7B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$203,929</w:t>
            </w:r>
          </w:p>
        </w:tc>
        <w:tc>
          <w:tcPr>
            <w:tcW w:w="0" w:type="auto"/>
          </w:tcPr>
          <w:p w14:paraId="51C24830" w14:textId="77777777" w:rsidR="00DF4E40" w:rsidRPr="00D128BA" w:rsidRDefault="00DF4E40" w:rsidP="00EE5B7B">
            <w:r w:rsidRPr="00D128BA">
              <w:t>$166,893</w:t>
            </w:r>
          </w:p>
        </w:tc>
        <w:tc>
          <w:tcPr>
            <w:tcW w:w="0" w:type="auto"/>
          </w:tcPr>
          <w:p w14:paraId="25583813" w14:textId="77777777" w:rsidR="00DF4E40" w:rsidRPr="00D128BA" w:rsidRDefault="00DF4E40" w:rsidP="00EE5B7B">
            <w:r w:rsidRPr="00D128BA">
              <w:t>$195,829</w:t>
            </w:r>
          </w:p>
        </w:tc>
        <w:tc>
          <w:tcPr>
            <w:tcW w:w="1650" w:type="dxa"/>
          </w:tcPr>
          <w:p w14:paraId="446BF430" w14:textId="77777777" w:rsidR="00DF4E40" w:rsidRPr="00D128BA" w:rsidRDefault="00DF4E40" w:rsidP="00EE5B7B">
            <w:r w:rsidRPr="00D128BA">
              <w:t>$209,901</w:t>
            </w:r>
          </w:p>
        </w:tc>
      </w:tr>
      <w:tr w:rsidR="00DF4E40" w14:paraId="2DFB8C23" w14:textId="77777777" w:rsidTr="007F3A71">
        <w:tc>
          <w:tcPr>
            <w:tcW w:w="673" w:type="dxa"/>
            <w:vMerge/>
          </w:tcPr>
          <w:p w14:paraId="638EC0F6" w14:textId="77777777" w:rsidR="00DF4E40" w:rsidRDefault="00DF4E40"/>
        </w:tc>
        <w:tc>
          <w:tcPr>
            <w:tcW w:w="1215" w:type="dxa"/>
            <w:vAlign w:val="bottom"/>
          </w:tcPr>
          <w:p w14:paraId="768D9446" w14:textId="77777777" w:rsidR="00DF4E40" w:rsidRPr="00AE4A6B" w:rsidRDefault="00DF4E40">
            <w:r>
              <w:t>Q3 2026</w:t>
            </w:r>
          </w:p>
        </w:tc>
        <w:tc>
          <w:tcPr>
            <w:tcW w:w="1553" w:type="dxa"/>
          </w:tcPr>
          <w:p w14:paraId="307E4BC0" w14:textId="77777777" w:rsidR="00DF4E40" w:rsidRPr="00D128BA" w:rsidRDefault="00DF4E40" w:rsidP="006342D5">
            <w:r w:rsidRPr="00D128BA">
              <w:t>$246,707</w:t>
            </w:r>
          </w:p>
        </w:tc>
        <w:tc>
          <w:tcPr>
            <w:tcW w:w="1558" w:type="dxa"/>
          </w:tcPr>
          <w:p w14:paraId="782CC436" w14:textId="77777777" w:rsidR="00DF4E40" w:rsidRPr="00D128BA" w:rsidRDefault="00DF4E40" w:rsidP="006342D5">
            <w:r w:rsidRPr="00D128BA">
              <w:t>$174,103</w:t>
            </w:r>
          </w:p>
        </w:tc>
        <w:tc>
          <w:tcPr>
            <w:tcW w:w="0" w:type="auto"/>
            <w:vAlign w:val="center"/>
          </w:tcPr>
          <w:p w14:paraId="6870460C" w14:textId="77777777" w:rsidR="00DF4E40" w:rsidRDefault="00DF4E40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$165,362</w:t>
            </w:r>
          </w:p>
        </w:tc>
        <w:tc>
          <w:tcPr>
            <w:tcW w:w="0" w:type="auto"/>
          </w:tcPr>
          <w:p w14:paraId="363C3312" w14:textId="77777777" w:rsidR="00DF4E40" w:rsidRPr="00D128BA" w:rsidRDefault="00DF4E40" w:rsidP="006342D5">
            <w:r w:rsidRPr="00D128BA">
              <w:t>$177,158</w:t>
            </w:r>
          </w:p>
        </w:tc>
        <w:tc>
          <w:tcPr>
            <w:tcW w:w="0" w:type="auto"/>
          </w:tcPr>
          <w:p w14:paraId="3E8004EB" w14:textId="77777777" w:rsidR="00DF4E40" w:rsidRPr="00D128BA" w:rsidRDefault="00DF4E40" w:rsidP="006342D5">
            <w:r w:rsidRPr="00D128BA">
              <w:t>$216,034</w:t>
            </w:r>
          </w:p>
        </w:tc>
        <w:tc>
          <w:tcPr>
            <w:tcW w:w="1650" w:type="dxa"/>
          </w:tcPr>
          <w:p w14:paraId="50497ADF" w14:textId="77777777" w:rsidR="00DF4E40" w:rsidRPr="00D128BA" w:rsidRDefault="00DF4E40" w:rsidP="006342D5">
            <w:r w:rsidRPr="00D128BA">
              <w:t>$152,258</w:t>
            </w:r>
          </w:p>
        </w:tc>
      </w:tr>
      <w:tr w:rsidR="00DF4E40" w14:paraId="249F3524" w14:textId="77777777" w:rsidTr="007F3A71">
        <w:tc>
          <w:tcPr>
            <w:tcW w:w="673" w:type="dxa"/>
            <w:vMerge/>
          </w:tcPr>
          <w:p w14:paraId="263BED5D" w14:textId="77777777" w:rsidR="00DF4E40" w:rsidRDefault="00DF4E40"/>
        </w:tc>
        <w:tc>
          <w:tcPr>
            <w:tcW w:w="1215" w:type="dxa"/>
            <w:vAlign w:val="bottom"/>
          </w:tcPr>
          <w:p w14:paraId="640DC9AC" w14:textId="77777777" w:rsidR="00DF4E40" w:rsidRPr="00AE4A6B" w:rsidRDefault="00DF4E40">
            <w:r>
              <w:t>Q4 2026</w:t>
            </w:r>
          </w:p>
        </w:tc>
        <w:tc>
          <w:tcPr>
            <w:tcW w:w="1553" w:type="dxa"/>
          </w:tcPr>
          <w:p w14:paraId="7FFEB0DC" w14:textId="77777777" w:rsidR="00DF4E40" w:rsidRPr="00D128BA" w:rsidRDefault="00DF4E40" w:rsidP="006342D5">
            <w:r w:rsidRPr="00D128BA">
              <w:t>$247,578</w:t>
            </w:r>
          </w:p>
        </w:tc>
        <w:tc>
          <w:tcPr>
            <w:tcW w:w="1558" w:type="dxa"/>
          </w:tcPr>
          <w:p w14:paraId="68D3DEE8" w14:textId="77777777" w:rsidR="00DF4E40" w:rsidRPr="00D128BA" w:rsidRDefault="00DF4E40" w:rsidP="006342D5">
            <w:r w:rsidRPr="00D128BA">
              <w:t>$156,642</w:t>
            </w:r>
          </w:p>
        </w:tc>
        <w:tc>
          <w:tcPr>
            <w:tcW w:w="0" w:type="auto"/>
            <w:vAlign w:val="center"/>
          </w:tcPr>
          <w:p w14:paraId="231B5535" w14:textId="77777777" w:rsidR="00DF4E40" w:rsidRDefault="00DF4E40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$83,709</w:t>
            </w:r>
          </w:p>
        </w:tc>
        <w:tc>
          <w:tcPr>
            <w:tcW w:w="0" w:type="auto"/>
          </w:tcPr>
          <w:p w14:paraId="6AA08D72" w14:textId="77777777" w:rsidR="00DF4E40" w:rsidRPr="00D128BA" w:rsidRDefault="00DF4E40" w:rsidP="006342D5">
            <w:r w:rsidRPr="00D128BA">
              <w:t>$223,227</w:t>
            </w:r>
          </w:p>
        </w:tc>
        <w:tc>
          <w:tcPr>
            <w:tcW w:w="0" w:type="auto"/>
          </w:tcPr>
          <w:p w14:paraId="2C5F3B49" w14:textId="77777777" w:rsidR="00DF4E40" w:rsidRPr="00D128BA" w:rsidRDefault="00DF4E40" w:rsidP="006342D5">
            <w:r w:rsidRPr="00D128BA">
              <w:t>$175,413</w:t>
            </w:r>
          </w:p>
        </w:tc>
        <w:tc>
          <w:tcPr>
            <w:tcW w:w="1650" w:type="dxa"/>
          </w:tcPr>
          <w:p w14:paraId="5C72366F" w14:textId="77777777" w:rsidR="00DF4E40" w:rsidRPr="00D128BA" w:rsidRDefault="00DF4E40" w:rsidP="006342D5">
            <w:r w:rsidRPr="00D128BA">
              <w:t>$185,637</w:t>
            </w:r>
          </w:p>
        </w:tc>
      </w:tr>
    </w:tbl>
    <w:p w14:paraId="0AC66060" w14:textId="77777777" w:rsidR="00BA7BAF" w:rsidRDefault="00BA7BAF"/>
    <w:sectPr w:rsidR="00BA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A6B"/>
    <w:rsid w:val="00070097"/>
    <w:rsid w:val="000D0D9A"/>
    <w:rsid w:val="00161713"/>
    <w:rsid w:val="00374044"/>
    <w:rsid w:val="006E5FAE"/>
    <w:rsid w:val="007F3A71"/>
    <w:rsid w:val="00832D48"/>
    <w:rsid w:val="00876B77"/>
    <w:rsid w:val="00A717E7"/>
    <w:rsid w:val="00AE4A6B"/>
    <w:rsid w:val="00B44C10"/>
    <w:rsid w:val="00BA7BAF"/>
    <w:rsid w:val="00DF4E40"/>
    <w:rsid w:val="00FA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576C"/>
  <w15:docId w15:val="{41FB8A51-F18B-4EEB-955C-023B0043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E4A6B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A6B"/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D9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0D9A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0D0D9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D0D9A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0D0D9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CD5F422E388419BB522F4435A2991" ma:contentTypeVersion="12" ma:contentTypeDescription="Create a new document." ma:contentTypeScope="" ma:versionID="e5c10cafc2c37c7f469fd87ac61c85e7">
  <xsd:schema xmlns:xsd="http://www.w3.org/2001/XMLSchema" xmlns:xs="http://www.w3.org/2001/XMLSchema" xmlns:p="http://schemas.microsoft.com/office/2006/metadata/properties" xmlns:ns2="e126d1a7-de2c-4ae3-80af-dc9ec7d9558b" xmlns:ns3="16c367a0-1ebe-4645-bffe-e50f3117a967" targetNamespace="http://schemas.microsoft.com/office/2006/metadata/properties" ma:root="true" ma:fieldsID="64cf9e92a51322bbdec604bdb87428eb" ns2:_="" ns3:_="">
    <xsd:import namespace="e126d1a7-de2c-4ae3-80af-dc9ec7d9558b"/>
    <xsd:import namespace="16c367a0-1ebe-4645-bffe-e50f3117a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6d1a7-de2c-4ae3-80af-dc9ec7d95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367a0-1ebe-4645-bffe-e50f3117a96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468AC6-DA87-4AEE-AEB2-AB84F34068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26d1a7-de2c-4ae3-80af-dc9ec7d9558b"/>
    <ds:schemaRef ds:uri="16c367a0-1ebe-4645-bffe-e50f3117a9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CDBF00-F2C3-4063-AE2C-CDB69ADF47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3EC828-BBF1-451F-B95C-9FA8F66E8B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E5945C-9EDE-4854-81ED-137601867C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Yolanda Kotze</cp:lastModifiedBy>
  <cp:revision>2</cp:revision>
  <dcterms:created xsi:type="dcterms:W3CDTF">2021-11-15T13:45:00Z</dcterms:created>
  <dcterms:modified xsi:type="dcterms:W3CDTF">2021-11-15T13:45:00Z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0x0101000E1CD5F422E388419BB522F4435A2991</vt:lpwstr>
  </property>
</Properties>
</file>