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Scenario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Integrated Operations &amp; Governance Document: Financial Services Launch Readiness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>
                <w:b w:val="0"/>
                <w:bCs w:val="0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Enterprise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Organization: </w:t>
      </w:r>
      <w:r w:rsidDel="00000000" w:rsidR="00000000" w:rsidRPr="00000000">
        <w:rPr>
          <w:rtl w:val="0"/>
        </w:rPr>
        <w:t xml:space="preserve">A global financial services firm preparing to launch a production enterprise agentic AI solution. The Chief Risk Officer and Head of Technology will review the operations and governance package before launch approval.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Regulatory lens: </w:t>
      </w:r>
      <w:r w:rsidDel="00000000" w:rsidR="00000000" w:rsidRPr="00000000">
        <w:rPr>
          <w:rtl w:val="0"/>
        </w:rPr>
        <w:t xml:space="preserve">The solution handles regulated customer data and operates in a jurisdiction with algorithmic accountability requirements for credit-relevant determinations. The organization must show that automated decisions are explainable, auditable, tested at critical boundaries, and subject to human oversight where required.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Multi-Agent System Architecture Summary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Architecture Components</w:t>
      </w:r>
    </w:p>
    <w:tbl>
      <w:tblPr>
        <w:tblStyle w:val="Table2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 in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Primary Data Handled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Operational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Copilot Studio Customer Service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Handles regulated customer inquiries, gathers initial information, and routes credit-related requests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Customer questions, account references, inquiry metadata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Incorrect advice, inappropriate response, missed escalation, customer-facing safety incident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Foundry Document Intelligence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Processes applicant-submitted documents used by the credit assessment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Income documents, identity documents, uploaded supporting records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Document misclassification, indirect prompt injection through submitted documents, low-confidence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Automated Credit Assessment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Combines extracted document fields and policy rules to produce credit-relevant determinations or human-review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Credit assessment variables, model confidence scores, decision explanations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Boundary-case errors near authorization thresholds, insufficient human oversight, unexplainable decision 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3. One-Week Staging Telemetry Snapshot</w:t>
      </w:r>
    </w:p>
    <w:tbl>
      <w:tblPr>
        <w:tblStyle w:val="Table3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b w:val="0"/>
                <w:bCs w:val="0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Telemetry Summary</w:t>
      </w:r>
    </w:p>
    <w:tbl>
      <w:tblPr>
        <w:tblStyle w:val="Table4"/>
        <w:tblW w:w="103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3"/>
        <w:gridCol w:w="2074"/>
        <w:gridCol w:w="2074"/>
        <w:gridCol w:w="2074"/>
        <w:gridCol w:w="2074"/>
        <w:tblGridChange w:id="0">
          <w:tblGrid>
            <w:gridCol w:w="2073"/>
            <w:gridCol w:w="2074"/>
            <w:gridCol w:w="2074"/>
            <w:gridCol w:w="2074"/>
            <w:gridCol w:w="2074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Expected /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Affected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Customer service resolution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82%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&gt;= 80%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Copilot Studio Customer Service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Within expected range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ontinue monitoring.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Escalation 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19%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&lt;= 22%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Customer Service Agent/Credit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Within expected range.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;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eview weekly trend.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p95 response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4.8 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&lt;= 3.0 seconds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Automated Credit Assessment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Anomaly 1: latency spike concentrated during document extraction + credit scoring handoff. Requires tracing and bottleneck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Document extraction low-confidence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14.6%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&lt;= 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Foundry Document Intelligence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Anomaly 2: elevated low-confidence extractions, especially applicant-uploaded income documents. Requires model validation and document quality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Prompt Shield indirect-injection detections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7 detections/week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Investigate all confirmed detections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Document Intelligence Pipeline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Detections occurred in applicant-uploaded document content. Requires security/content safety alignment.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Credit assessment confidence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11% of cases between 0.48 and 0.55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Boundary band requires review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Automated Credit Assessment Workflow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Boundary cases cluster near pre-authorization threshold; test coverage should target this band.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Audit log write failures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0.3%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Audit Logging Pipeline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Small but material. Investigate retry and queue handling before launch.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Customer satisfaction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4.1/5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&gt;= 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Customer Service Agent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Meets staging target.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4. Regulatory Context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Regulatory and Governance Requirements</w:t>
      </w:r>
    </w:p>
    <w:tbl>
      <w:tblPr>
        <w:tblStyle w:val="Table5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Architecture Implication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 Sections Affected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Algorithmic 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Credit-relevant determinations must be explainable, auditable, and reviewable at defined decision points.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Responsible AI Review; Testing Strategy; Executive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Applicant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Applicants must be informed when automated processing is involved in credit-relevant determinations, where applicable under the jurisdictional policy.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Responsible AI Review; Executive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Human oversight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Boundary cases and high-risk automated determinations require defined human review checkpoints.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Testing Strategy; Responsible AI Review; Security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Data minimization and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Telemetry, logs, and review payloads should avoid unnecessary personal data and restrict access by role.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Security Architecture; Observability Plan; Executive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The organization must reconstruct decision paths, escalation events, and reviewer decisions for compliance review.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Observability Plan; Security Architecture; Executive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5. CRO Review Criteria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Chief Risk Officer Review Questions</w:t>
      </w:r>
    </w:p>
    <w:tbl>
      <w:tblPr>
        <w:tblStyle w:val="Table6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3"/>
        <w:tblGridChange w:id="0">
          <w:tblGrid>
            <w:gridCol w:w="5184"/>
            <w:gridCol w:w="51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Review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Where Learner Should Address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Will we know when something goes wrong?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Observability Plan; Executive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Have we tested the scenarios that matter for this regulatory context?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Testing Strategy; Responsible AI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Does governance cover the autonomous decisions this solution makes?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Responsible AI Review; Executive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Does the content safety design reflect this customer-facing deployment?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Content Safety Operations; Security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Is the security architecture specific to the agents and attack surfaces in this solution?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Security Architecture; Content Safety Operations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6. Required Use of This Brief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the three solution components directly in each applicable section: Copilot Studio Customer Service Agent, Foundry Document Intelligence Model, and Automated Credit Assessment Workflow.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latency spike and low-confidence extraction rate as the evidence basis for continuous improvement actions in the Observability Plan.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boundary-band credit assessment distribution to inform testing strategy and responsible AI review.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Prompt Shield detections from applicant-uploaded documents to align Content Safety Operations and Security Architecture.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the regulatory context to frame the Executive Launch Readiness Summary for the CRO audience.</w:t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m6U31aS/yc3zDuyJGG9E7x2bdQ==">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