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dfxgpqwyq41n" w:id="0"/>
      <w:bookmarkEnd w:id="0"/>
      <w:r w:rsidDel="00000000" w:rsidR="00000000" w:rsidRPr="00000000">
        <w:rPr>
          <w:rtl w:val="0"/>
        </w:rPr>
        <w:t xml:space="preserve">ENTERPRISE AI STRATEGY &amp; GOVERNANCE PLAYBOOK</w:t>
      </w:r>
    </w:p>
    <w:p w:rsidR="00000000" w:rsidDel="00000000" w:rsidP="00000000" w:rsidRDefault="00000000" w:rsidRPr="00000000" w14:paraId="00000002">
      <w:pPr>
        <w:spacing w:line="276" w:lineRule="auto"/>
        <w:rPr/>
      </w:pPr>
      <w:r w:rsidDel="00000000" w:rsidR="00000000" w:rsidRPr="00000000">
        <w:rPr>
          <w:b w:val="1"/>
          <w:bCs w:val="1"/>
          <w:rtl w:val="0"/>
        </w:rPr>
        <w:t xml:space="preserve">Prepared for:</w:t>
      </w:r>
      <w:r w:rsidDel="00000000" w:rsidR="00000000" w:rsidRPr="00000000">
        <w:rPr>
          <w:rtl w:val="0"/>
        </w:rPr>
        <w:t xml:space="preserve"> Executive Leadership Team, Global Retail Logistics (GRL) Corp </w:t>
      </w:r>
      <w:r w:rsidDel="00000000" w:rsidR="00000000" w:rsidRPr="00000000">
        <w:rPr>
          <w:b w:val="1"/>
          <w:bCs w:val="1"/>
          <w:rtl w:val="0"/>
        </w:rPr>
        <w:t xml:space="preserve">Author:</w:t>
      </w:r>
      <w:r w:rsidDel="00000000" w:rsidR="00000000" w:rsidRPr="00000000">
        <w:rPr>
          <w:rtl w:val="0"/>
        </w:rPr>
        <w:t xml:space="preserve"> Principal Solution Architect and AI Strategy Lead</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line="276" w:lineRule="auto"/>
        <w:rPr/>
      </w:pPr>
      <w:bookmarkStart w:colFirst="0" w:colLast="0" w:name="_l4x3lars8hjp" w:id="1"/>
      <w:bookmarkEnd w:id="1"/>
      <w:r w:rsidDel="00000000" w:rsidR="00000000" w:rsidRPr="00000000">
        <w:rPr>
          <w:rtl w:val="0"/>
        </w:rPr>
        <w:t xml:space="preserve">Section 1: Use Case Prioritization &amp; Feasibility Matrix</w:t>
      </w:r>
    </w:p>
    <w:p w:rsidR="00000000" w:rsidDel="00000000" w:rsidP="00000000" w:rsidRDefault="00000000" w:rsidRPr="00000000" w14:paraId="00000006">
      <w:pPr>
        <w:spacing w:line="276" w:lineRule="auto"/>
        <w:rPr/>
      </w:pPr>
      <w:r w:rsidDel="00000000" w:rsidR="00000000" w:rsidRPr="00000000">
        <w:rPr>
          <w:b w:val="1"/>
          <w:bCs w:val="1"/>
          <w:rtl w:val="0"/>
        </w:rPr>
        <w:t xml:space="preserve">Opportunity Audit:</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The Executive Email Ghostwriter is high-value and immediately ready—it leverages out-of-the-box M365 Copilot functionality native to Outlook and Teams, with no custom development required. The Warehouse Policy Desk is high value but blocked by data quality issues—duplicate safety manuals and unreadable scanned PDFs must be remediated before a RAG system can function. The Fleet Logistics Router presents critical systemic risk—the request requires autonomous write access to the live production ERP database and must be downgraded before any budget is allocated.</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b w:val="1"/>
          <w:bCs w:val="1"/>
          <w:rtl w:val="0"/>
        </w:rPr>
        <w:t xml:space="preserve">Data Remediation Specification: Warehouse Policy Desk</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The SharePoint safety folder contains duplicate versions of the same manuals in the same directory—the RAG engine pulls conflicting chunks and returns blended answers without flagging the inconsistency. Several older manuals are scanned-image PDFs that the chunking mechanism treats as blank space and silently skips. All non-current versions must be archived, and all scanned PDFs must be processed through an OCR scanner before development begins.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b w:val="1"/>
          <w:bCs w:val="1"/>
          <w:rtl w:val="0"/>
        </w:rPr>
        <w:t xml:space="preserve">Horizon Matrix Classification and Scope Boundary: Fleet Logistics Router</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The Fleet Logistics Router is classified as Horizon 3—it requires autonomous write access to the live production ERP routing database, and a single hallucination could reroute active drivers and create physical vehicle liability. The enforced scope boundary downgrades the project to Horizon 1: the agent may suggest optimal routes to a human dispatcher in Teams, but a human must manually approve every recommendation before any change is written to the database. This boundary must be enforced in the Phase 2 instruction architecture and carried through the pilot design.</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line="276" w:lineRule="auto"/>
        <w:rPr/>
      </w:pPr>
      <w:bookmarkStart w:colFirst="0" w:colLast="0" w:name="_fc7gkids4xo3" w:id="2"/>
      <w:bookmarkEnd w:id="2"/>
      <w:r w:rsidDel="00000000" w:rsidR="00000000" w:rsidRPr="00000000">
        <w:rPr>
          <w:rtl w:val="0"/>
        </w:rPr>
        <w:t xml:space="preserve">Section 2: Platform Selection &amp; Implementation Framework</w:t>
      </w:r>
    </w:p>
    <w:p w:rsidR="00000000" w:rsidDel="00000000" w:rsidP="00000000" w:rsidRDefault="00000000" w:rsidRPr="00000000" w14:paraId="00000018">
      <w:pPr>
        <w:spacing w:line="276" w:lineRule="auto"/>
        <w:rPr/>
      </w:pPr>
      <w:r w:rsidDel="00000000" w:rsidR="00000000" w:rsidRPr="00000000">
        <w:rPr>
          <w:b w:val="1"/>
          <w:bCs w:val="1"/>
          <w:rtl w:val="0"/>
        </w:rPr>
        <w:t xml:space="preserve">Three-Layer Architecture Mapping and Buy/Extend/Build Justification:</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The Executive Email Ghostwriter maps to the Surface Layer—Microsoft 365 Copilot—decision is Buy. Gate 1 passes immediately because M365 Copilot handles email summarization and drafting natively inside Outlook and Teams with no custom development required.</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The Warehouse Policy Desk maps to the Orchestration Layer—Microsoft Copilot Studio—decision is Extend. Gate 1 fails because out-of-the-box Copilot cannot access GRL Corp's specific safety policies, but Gate 2 passes because Copilot Studio connects directly to the remediated SharePoint folder via a native knowledge source connector with no custom code required.</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The Fleet Logistics Router maps to the Engineering Layer—Azure AI Foundry Agent Service—decision is Build. Gate 1 and Gate 2 both fail because no existing platform handles proprietary routing analysis over unindexed historical freight data, making a pro-code Python agent in Azure AI Foundry the only viable path with strict read-only scope controls enforced at every layer.</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spacing w:line="276" w:lineRule="auto"/>
        <w:rPr/>
      </w:pPr>
      <w:bookmarkStart w:colFirst="0" w:colLast="0" w:name="_i93sl47raea8" w:id="3"/>
      <w:bookmarkEnd w:id="3"/>
      <w:r w:rsidDel="00000000" w:rsidR="00000000" w:rsidRPr="00000000">
        <w:rPr>
          <w:rtl w:val="0"/>
        </w:rPr>
        <w:t xml:space="preserve">Section 3: Multi-Platform Adoption Roadmap</w:t>
      </w:r>
    </w:p>
    <w:p w:rsidR="00000000" w:rsidDel="00000000" w:rsidP="00000000" w:rsidRDefault="00000000" w:rsidRPr="00000000" w14:paraId="00000022">
      <w:pPr>
        <w:spacing w:line="276" w:lineRule="auto"/>
        <w:rPr/>
      </w:pPr>
      <w:r w:rsidDel="00000000" w:rsidR="00000000" w:rsidRPr="00000000">
        <w:rPr>
          <w:b w:val="1"/>
          <w:bCs w:val="1"/>
          <w:rtl w:val="0"/>
        </w:rPr>
        <w:t xml:space="preserve">Phase 1—Intake:</w:t>
      </w:r>
      <w:r w:rsidDel="00000000" w:rsidR="00000000" w:rsidRPr="00000000">
        <w:rPr>
          <w:rtl w:val="0"/>
        </w:rPr>
        <w:t xml:space="preserve"> The CoE approves the Warehouse Policy Desk, conditional on the Inventory Team completing the data remediation steps before development begins. The Fleet Logistics Router is formally logged as downgraded to Horizon 1 read-only scope with no exceptions permitted.</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b w:val="1"/>
          <w:bCs w:val="1"/>
          <w:rtl w:val="0"/>
        </w:rPr>
        <w:t xml:space="preserve">Phase 2—Baseline:</w:t>
      </w:r>
      <w:r w:rsidDel="00000000" w:rsidR="00000000" w:rsidRPr="00000000">
        <w:rPr>
          <w:rtl w:val="0"/>
        </w:rPr>
        <w:t xml:space="preserve"> An isolated Azure Landing Zone is provisioned for the Warehouse Policy Desk project, with strict RBAC permissions that define who can deploy, access, and modify AI resources. Azure AI Content Safety is configured at the API gateway middleware layer to automatically mask and redact customer PII and internal operational codes before any query reaches the language model. The Fleet Logistics Router instruction architecture is hardcoded to prohibit database write operations at the system prompt level.</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b w:val="1"/>
          <w:bCs w:val="1"/>
          <w:rtl w:val="0"/>
        </w:rPr>
        <w:t xml:space="preserve">Phase 3—Pilot:</w:t>
      </w:r>
      <w:r w:rsidDel="00000000" w:rsidR="00000000" w:rsidRPr="00000000">
        <w:rPr>
          <w:rtl w:val="0"/>
        </w:rPr>
        <w:t xml:space="preserve"> Agent access is locked to an Active Directory Security Group of 15 active warehouse managers. If Application Insights logs latency above 3,000ms, the Coder reduces chunk sizes to 500 tokens with 10% sentence overlap. If thumbs-down feedback exceeds 30%, the Consultant audits the query logs and hosts a workshop on contextual prompting.</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b w:val="1"/>
          <w:bCs w:val="1"/>
          <w:rtl w:val="0"/>
        </w:rPr>
        <w:t xml:space="preserve">Phase 4—Production:</w:t>
      </w:r>
      <w:r w:rsidDel="00000000" w:rsidR="00000000" w:rsidRPr="00000000">
        <w:rPr>
          <w:rtl w:val="0"/>
        </w:rPr>
        <w:t xml:space="preserve"> Azure Cost Management alerts are configured with a webhook that rate-limits prompts if token spending spikes more than 20% week-over-week. The Consultant runs ten monthly control test prompts to catch data drift before it reaches users.</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spacing w:line="276" w:lineRule="auto"/>
        <w:rPr/>
      </w:pPr>
      <w:bookmarkStart w:colFirst="0" w:colLast="0" w:name="_r7al5tqs4l8v" w:id="4"/>
      <w:bookmarkEnd w:id="4"/>
      <w:r w:rsidDel="00000000" w:rsidR="00000000" w:rsidRPr="00000000">
        <w:rPr>
          <w:rtl w:val="0"/>
        </w:rPr>
        <w:t xml:space="preserve">Section 4: CoE Operating Model and Accountability Matrix</w:t>
      </w:r>
    </w:p>
    <w:p w:rsidR="00000000" w:rsidDel="00000000" w:rsidP="00000000" w:rsidRDefault="00000000" w:rsidRPr="00000000" w14:paraId="0000002C">
      <w:pPr>
        <w:spacing w:line="276" w:lineRule="auto"/>
        <w:rPr/>
      </w:pPr>
      <w:r w:rsidDel="00000000" w:rsidR="00000000" w:rsidRPr="00000000">
        <w:rPr>
          <w:b w:val="1"/>
          <w:bCs w:val="1"/>
          <w:rtl w:val="0"/>
        </w:rPr>
        <w:t xml:space="preserve">CoE Composition:</w:t>
      </w:r>
      <w:r w:rsidDel="00000000" w:rsidR="00000000" w:rsidRPr="00000000">
        <w:rPr>
          <w:rtl w:val="0"/>
        </w:rPr>
        <w:t xml:space="preserve"> The GRL Corp AI Center of Excellence is composed of four roles—a Business Lead (ROI accountability), an IT and Security Architect (data safety), a Legal and Compliance Officer (privacy and risk), and a Change Management Lead (user adoption and organizational readiness).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b w:val="1"/>
          <w:bCs w:val="1"/>
          <w:rtl w:val="0"/>
        </w:rPr>
        <w:t xml:space="preserve">Dual-Track Accountability Matrix:</w: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Who approves it: the Consultant evaluates proposals via the CoE intake form and enforces Horizon Matrix scope boundaries before any budget is unlocked. The Coder validates database boundaries and checks API security before any environment is provisioned.</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Who owns it: The Warehouse Operations Lead owns the accuracy of the source documents and is responsible for notifying engineering within 48 hours of publishing any updated safety manual. The cloud infrastructure team owns the Azure Landing Zone, tenant isolation, and workspace security.</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Who maintains it: the Consultant runs ten monthly control prompts and checks responses against the prior baseline to identify drift. The Coder monitors Application Insights for latency spikes and manages re-indexing pipelines.</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b w:val="1"/>
          <w:bCs w:val="1"/>
          <w:rtl w:val="0"/>
        </w:rPr>
        <w:t xml:space="preserve">Ownership Boundaries:</w: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The Operations Lead owns document truth and cannot modify agent configuration or infrastructure. The engineering team owns the infrastructure layer and has sole authority over deployment settings. Neither role may act in the other's domain without a formal handoff.</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rtl w:val="0"/>
        </w:rPr>
      </w:r>
    </w:p>
    <w:p w:rsidR="00000000" w:rsidDel="00000000" w:rsidP="00000000" w:rsidRDefault="00000000" w:rsidRPr="00000000" w14:paraId="00000042">
      <w:pPr>
        <w:spacing w:line="276" w:lineRule="auto"/>
        <w:rPr>
          <w:b w:val="1"/>
          <w:bCs w:val="1"/>
        </w:rPr>
      </w:pPr>
      <w:r w:rsidDel="00000000" w:rsidR="00000000" w:rsidRPr="00000000">
        <w:rPr>
          <w:rtl w:val="0"/>
        </w:rPr>
      </w:r>
    </w:p>
    <w:p w:rsidR="00000000" w:rsidDel="00000000" w:rsidP="00000000" w:rsidRDefault="00000000" w:rsidRPr="00000000" w14:paraId="00000043">
      <w:pPr>
        <w:spacing w:line="276" w:lineRule="auto"/>
        <w:rPr>
          <w:b w:val="1"/>
          <w:bCs w:val="1"/>
        </w:rPr>
      </w:pPr>
      <w:r w:rsidDel="00000000" w:rsidR="00000000" w:rsidRPr="00000000">
        <w:rPr>
          <w:rtl w:val="0"/>
        </w:rPr>
      </w:r>
    </w:p>
    <w:p w:rsidR="00000000" w:rsidDel="00000000" w:rsidP="00000000" w:rsidRDefault="00000000" w:rsidRPr="00000000" w14:paraId="00000044">
      <w:pPr>
        <w:spacing w:line="276" w:lineRule="auto"/>
        <w:rPr>
          <w:b w:val="1"/>
          <w:bCs w:val="1"/>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b w:val="1"/>
          <w:bCs w:val="1"/>
          <w:rtl w:val="0"/>
        </w:rPr>
        <w:t xml:space="preserve">Drift Remediation Loop:</w:t>
      </w: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GRL Corp's compliance team updates the forklift certification requirement from annual to bi-annual renewal and publishes the change to SharePoint. The Consultant runs the monthly control prompt set, catches the outdated annual renewal answer, and submits a remediation ticket to engineering with the source document reference. The Coder executes the re-indexing script on the Azure AI Search Index—deleting stale embeddings, re-chunking the updated PDF, and uploading fresh vectors. The Consultant re-runs the control prompt to confirm the fix before closing the ticket.</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spacing w:line="276" w:lineRule="auto"/>
        <w:rPr/>
      </w:pPr>
      <w:bookmarkStart w:colFirst="0" w:colLast="0" w:name="_1rz7wjdm1koj" w:id="5"/>
      <w:bookmarkEnd w:id="5"/>
      <w:r w:rsidDel="00000000" w:rsidR="00000000" w:rsidRPr="00000000">
        <w:rPr>
          <w:rtl w:val="0"/>
        </w:rPr>
        <w:t xml:space="preserve">Executive Summary</w:t>
      </w:r>
    </w:p>
    <w:p w:rsidR="00000000" w:rsidDel="00000000" w:rsidP="00000000" w:rsidRDefault="00000000" w:rsidRPr="00000000" w14:paraId="0000004B">
      <w:pPr>
        <w:spacing w:line="276" w:lineRule="auto"/>
        <w:rPr/>
      </w:pPr>
      <w:r w:rsidDel="00000000" w:rsidR="00000000" w:rsidRPr="00000000">
        <w:rPr>
          <w:rtl w:val="0"/>
        </w:rPr>
        <w:t xml:space="preserve">GRL Corp's playbook ensures that every use case is vetted through the Horizon Matrix, every environment is secured before users touch the system, and every owner knows exactly what they are responsible for maintaining. The Surface Layer handles everyday productivity out of the box, the Orchestration Layer automates warehouse workflows safely against a clean data estate, and the Engineering Layer handles fleet analysis within strict read-only boundaries. The CoE Governance Matrix—led by the Business Lead, IT and Security Architect, Legal and Compliance Officer, and Change Management Lead—prevents shadow AI, controls cloud costs, and keeps the system grounded in current policy truth.</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