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rPr>
          <w:rFonts w:ascii="Aptos" w:hAnsi="Aptos"/>
          <w:color w:val="1F2937"/>
          <w:sz w:val="40"/>
        </w:rPr>
        <w:t>Integrated Delivery Architecture Document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20"/>
              </w:rPr>
              <w:t>Client:</w:t>
            </w:r>
            <w:r>
              <w:rPr>
                <w:rFonts w:ascii="Aptos" w:hAnsi="Aptos"/>
                <w:color w:val="1F2937"/>
                <w:sz w:val="20"/>
              </w:rPr>
              <w:t xml:space="preserve"> Meridian Mutual Lending Group</w:t>
            </w:r>
            <w:r>
              <w:br/>
            </w:r>
            <w:r>
              <w:rPr>
                <w:rFonts w:ascii="Aptos" w:hAnsi="Aptos"/>
                <w:b/>
                <w:color w:val="1F2937"/>
                <w:sz w:val="20"/>
              </w:rPr>
              <w:t>Prepared by:</w:t>
            </w:r>
            <w:r>
              <w:rPr>
                <w:rFonts w:ascii="Aptos" w:hAnsi="Aptos"/>
                <w:color w:val="1F2937"/>
                <w:sz w:val="20"/>
              </w:rPr>
              <w:t xml:space="preserve"> </w:t>
            </w:r>
            <w:r>
              <w:rPr>
                <w:rFonts w:ascii="Aptos" w:hAnsi="Aptos"/>
                <w:i/>
                <w:color w:val="6B7280"/>
                <w:sz w:val="20"/>
              </w:rPr>
              <w:t>Architect / team name</w:t>
            </w:r>
          </w:p>
        </w:tc>
        <w:tc>
          <w:tcPr>
            <w:tcW w:type="dxa" w:w="5256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20"/>
              </w:rPr>
              <w:t>Date:</w:t>
            </w:r>
            <w:r>
              <w:rPr>
                <w:rFonts w:ascii="Aptos" w:hAnsi="Aptos"/>
                <w:color w:val="1F2937"/>
                <w:sz w:val="20"/>
              </w:rPr>
              <w:t xml:space="preserve"> </w:t>
            </w:r>
            <w:r>
              <w:rPr>
                <w:rFonts w:ascii="Aptos" w:hAnsi="Aptos"/>
                <w:i/>
                <w:color w:val="6B7280"/>
                <w:sz w:val="20"/>
              </w:rPr>
              <w:t>Insert date</w:t>
            </w:r>
            <w:r>
              <w:br/>
            </w:r>
            <w:r>
              <w:rPr>
                <w:rFonts w:ascii="Aptos" w:hAnsi="Aptos"/>
                <w:b/>
                <w:color w:val="1F2937"/>
                <w:sz w:val="20"/>
              </w:rPr>
              <w:t>Version:</w:t>
            </w:r>
            <w:r>
              <w:rPr>
                <w:rFonts w:ascii="Aptos" w:hAnsi="Aptos"/>
                <w:color w:val="1F2937"/>
                <w:sz w:val="20"/>
              </w:rPr>
              <w:t xml:space="preserve"> 1.0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ptos" w:hAnsi="Aptos"/>
          <w:b/>
          <w:color w:val="1F2937"/>
          <w:sz w:val="20"/>
        </w:rPr>
        <w:t>Audience:</w:t>
      </w:r>
      <w:r>
        <w:rPr>
          <w:rFonts w:ascii="Aptos" w:hAnsi="Aptos"/>
          <w:color w:val="1F2937"/>
          <w:sz w:val="20"/>
        </w:rPr>
        <w:t xml:space="preserve"> Chief Risk Officer and production launch governance committee.</w:t>
      </w:r>
    </w:p>
    <w:p>
      <w:pPr>
        <w:spacing w:after="120"/>
      </w:pPr>
      <w:r>
        <w:rPr>
          <w:rFonts w:ascii="Aptos" w:hAnsi="Aptos"/>
          <w:b/>
          <w:color w:val="1F2937"/>
          <w:sz w:val="20"/>
        </w:rPr>
        <w:t>Instruction:</w:t>
      </w:r>
      <w:r>
        <w:rPr>
          <w:rFonts w:ascii="Aptos" w:hAnsi="Aptos"/>
          <w:color w:val="1F2937"/>
          <w:sz w:val="20"/>
        </w:rPr>
        <w:t xml:space="preserve"> Complete every table field before writing the analytical content. Analytical content should interpret the table entries and connect them to the regulated financial services scenario.</w:t>
      </w:r>
    </w:p>
    <w:p>
      <w:pPr>
        <w:pStyle w:val="Heading2"/>
        <w:spacing w:after="120"/>
        <w:pBdr>
          <w:bottom w:val="single" w:sz="6" w:space="4" w:color="CBD5E1"/>
        </w:pBdr>
      </w:pPr>
      <w:r>
        <w:rPr>
          <w:rFonts w:ascii="Aptos" w:hAnsi="Aptos"/>
          <w:color w:val="1F2937"/>
          <w:sz w:val="28"/>
        </w:rPr>
        <w:t>1. D365 and Power Platform AI Configuration Summary</w:t>
      </w: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Configuration Decision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Decision Area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Scenario-Specific Configuration Decision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Governance Rationale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Evidence / Owner</w:t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Business term / data semantic 1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Business term / data semantic 2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Business term / data semantic 3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Response behavior constraint 1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Response behavior constraint 2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Cross-channel routing logic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WAF Gap Classification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Technical Blueprint Gap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WAF Pillar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Production Risk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Remediation Design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Consistency Check</w:t>
            </w:r>
          </w:p>
        </w:tc>
      </w:tr>
      <w:tr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Analytical Content (150-250 words)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FCFD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</w:tcPr>
          <w:p>
            <w:r/>
          </w:p>
        </w:tc>
      </w:tr>
    </w:tbl>
    <w:p>
      <w:pPr>
        <w:spacing w:after="80"/>
      </w:pPr>
    </w:p>
    <w:p>
      <w:pPr>
        <w:pStyle w:val="Heading2"/>
        <w:spacing w:after="120"/>
        <w:pBdr>
          <w:bottom w:val="single" w:sz="6" w:space="4" w:color="CBD5E1"/>
        </w:pBdr>
      </w:pPr>
      <w:r>
        <w:rPr>
          <w:rFonts w:ascii="Aptos" w:hAnsi="Aptos"/>
          <w:color w:val="1F2937"/>
          <w:sz w:val="28"/>
        </w:rPr>
        <w:t>2. Copilot Studio ALM Pipeline Summary</w:t>
      </w: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Approval Gate Specification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Approval Gate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Approval Authority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Validation Prerequisites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CAB Rationale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SLA for Decision</w:t>
            </w:r>
          </w:p>
        </w:tc>
      </w:tr>
      <w:tr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Production deployment approval</w:t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Rollback Procedure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✓</w:t>
            </w:r>
          </w:p>
        </w:tc>
        <w:tc>
          <w:tcPr>
            <w:tcW w:type="dxa" w:w="3504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Rollback Requirement</w:t>
            </w:r>
          </w:p>
        </w:tc>
        <w:tc>
          <w:tcPr>
            <w:tcW w:type="dxa" w:w="3504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Completed Design Detail</w:t>
            </w:r>
          </w:p>
        </w:tc>
      </w:tr>
      <w:tr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Trigger conditions identified</w:t>
            </w:r>
          </w:p>
        </w:tc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Production version restored</w:t>
            </w:r>
          </w:p>
        </w:tc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Prompt/environment variable values restored</w:t>
            </w:r>
          </w:p>
        </w:tc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Connection references validated after rollback</w:t>
            </w:r>
          </w:p>
        </w:tc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Restoration time target documented</w:t>
            </w:r>
          </w:p>
        </w:tc>
        <w:tc>
          <w:tcPr>
            <w:tcW w:type="dxa" w:w="3504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Analytical Content (150-250 words)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FCFD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</w:tcPr>
          <w:p>
            <w:r/>
          </w:p>
        </w:tc>
      </w:tr>
    </w:tbl>
    <w:p>
      <w:pPr>
        <w:spacing w:after="80"/>
      </w:pPr>
    </w:p>
    <w:p>
      <w:pPr>
        <w:pStyle w:val="Heading2"/>
        <w:spacing w:after="120"/>
        <w:pBdr>
          <w:bottom w:val="single" w:sz="6" w:space="4" w:color="CBD5E1"/>
        </w:pBdr>
      </w:pPr>
      <w:r>
        <w:rPr>
          <w:rFonts w:ascii="Aptos" w:hAnsi="Aptos"/>
          <w:color w:val="1F2937"/>
          <w:sz w:val="28"/>
        </w:rPr>
        <w:t>3. Microsoft Foundry Agent and Custom Model Lifecycle Summary</w:t>
      </w: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Versioning Decision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Version Type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Trigger in This Scenario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Promotion Process Triggered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Governance Owner</w:t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Major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Minor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Patch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Drift Detection Metric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Monitoring Metric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Why It Fits Financial Document Classification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Statistical Method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Alerting Threshold</w:t>
            </w:r>
          </w:p>
        </w:tc>
        <w:tc>
          <w:tcPr>
            <w:tcW w:type="dxa" w:w="2102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Alert Type</w:t>
            </w:r>
          </w:p>
        </w:tc>
      </w:tr>
      <w:tr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10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Analytical Content (150-250 words)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FCFD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</w:tcPr>
          <w:p>
            <w:r/>
          </w:p>
        </w:tc>
      </w:tr>
    </w:tbl>
    <w:p>
      <w:pPr>
        <w:spacing w:after="80"/>
      </w:pPr>
    </w:p>
    <w:p>
      <w:pPr>
        <w:pStyle w:val="Heading2"/>
        <w:spacing w:after="120"/>
        <w:pBdr>
          <w:bottom w:val="single" w:sz="6" w:space="4" w:color="CBD5E1"/>
        </w:pBdr>
      </w:pPr>
      <w:r>
        <w:rPr>
          <w:rFonts w:ascii="Aptos" w:hAnsi="Aptos"/>
          <w:color w:val="1F2937"/>
          <w:sz w:val="28"/>
        </w:rPr>
        <w:t>4. Integration Consistency Summary</w:t>
      </w: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Integration Consistency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Cross-Component Check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Compliant / Gap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Evidence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Resolution if Gap Exists</w:t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Deployment pipelines cover D365, Power Apps, Copilot Studio, and Microsoft Foundry components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WAF remediation aligns with Copilot Studio ALM security controls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Drift detection connects to Microsoft Foundry rollback procedures</w:t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Cross-Component Governance Tension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Tension Identified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Components Affected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Resolution Applied</w:t>
            </w:r>
          </w:p>
        </w:tc>
        <w:tc>
          <w:tcPr>
            <w:tcW w:type="dxa" w:w="2628"/>
            <w:shd w:fill="EAF2F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What the Resolution Ensures</w:t>
            </w:r>
          </w:p>
        </w:tc>
      </w:tr>
      <w:tr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  <w:tc>
          <w:tcPr>
            <w:tcW w:type="dxa" w:w="2628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3"/>
        <w:spacing w:after="120"/>
      </w:pPr>
      <w:r>
        <w:rPr>
          <w:rFonts w:ascii="Aptos" w:hAnsi="Aptos"/>
          <w:color w:val="1F2937"/>
          <w:sz w:val="22"/>
        </w:rPr>
        <w:t>Analytical Content (150-250 words)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FCFD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  <w:insideH w:val="single" w:sz="8" w:space="0" w:color="CBD5E1"/>
              <w:insideV w:val="single" w:sz="8" w:space="0" w:color="CBD5E1"/>
            </w:tcBorders>
          </w:tcPr>
          <w:p>
            <w:r/>
          </w:p>
        </w:tc>
      </w:tr>
    </w:tbl>
    <w:p>
      <w:pPr>
        <w:spacing w:after="80"/>
      </w:pPr>
    </w:p>
    <w:p>
      <w:pPr>
        <w:spacing w:after="120"/>
        <w:pBdr>
          <w:bottom w:val="single" w:sz="6" w:space="4" w:color="E5E7EB"/>
        </w:pBdr>
      </w:pPr>
      <w:r>
        <w:rPr>
          <w:rFonts w:ascii="Aptos" w:hAnsi="Aptos"/>
          <w:color w:val="64748B"/>
          <w:sz w:val="18"/>
        </w:rPr>
        <w:t>Export completed document as PDF for production launch readiness review.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