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0" w:after="120"/>
        <w:rPr/>
      </w:pPr>
      <w:r>
        <w:rPr>
          <w:rFonts w:ascii="Aptos" w:hAnsi="Aptos"/>
          <w:color w:val="1F2937"/>
          <w:sz w:val="44"/>
        </w:rPr>
        <w:t>Scenario Brief: Financial Services AI Platform Launch Readiness</w:t>
      </w:r>
    </w:p>
    <w:p>
      <w:pPr>
        <w:pStyle w:val="Normal"/>
        <w:spacing w:before="0" w:after="120"/>
        <w:rPr/>
      </w:pPr>
      <w:r>
        <w:rPr>
          <w:color w:val="64748B"/>
          <w:sz w:val="18"/>
        </w:rPr>
        <w:t>Client scenario brief for delivery architecture planning.</w:t>
      </w:r>
    </w:p>
    <w:tbl>
      <w:tblPr>
        <w:tblW w:w="10368" w:type="dxa"/>
        <w:jc w:val="left"/>
        <w:tblInd w:w="0" w:type="dxa"/>
        <w:tblCellMar>
          <w:top w:w="0" w:type="dxa"/>
          <w:left w:w="108" w:type="dxa"/>
          <w:bottom w:w="0" w:type="dxa"/>
          <w:right w:w="108" w:type="dxa"/>
        </w:tblCellMar>
        <w:tblLook w:val="04a0" w:noHBand="0" w:noVBand="1" w:firstColumn="1" w:lastRow="0" w:lastColumn="0" w:firstRow="1"/>
      </w:tblPr>
      <w:tblGrid>
        <w:gridCol w:w="5185"/>
        <w:gridCol w:w="5182"/>
      </w:tblGrid>
      <w:tr>
        <w:trPr/>
        <w:tc>
          <w:tcPr>
            <w:tcW w:w="5185" w:type="dxa"/>
            <w:tcBorders>
              <w:top w:val="single" w:sz="8" w:space="0" w:color="CBD5E1"/>
              <w:left w:val="single" w:sz="8" w:space="0" w:color="CBD5E1"/>
              <w:bottom w:val="single" w:sz="8" w:space="0" w:color="CBD5E1"/>
              <w:right w:val="single" w:sz="8" w:space="0" w:color="CBD5E1"/>
            </w:tcBorders>
            <w:shd w:fill="F8FAFC"/>
          </w:tcPr>
          <w:p>
            <w:pPr>
              <w:pStyle w:val="Normal"/>
              <w:spacing w:before="0" w:after="0"/>
              <w:rPr/>
            </w:pPr>
            <w:r>
              <w:rPr>
                <w:b/>
                <w:color w:val="1F2937"/>
                <w:sz w:val="21"/>
              </w:rPr>
              <w:t>Client:</w:t>
            </w:r>
            <w:r>
              <w:rPr>
                <w:color w:val="1F2937"/>
                <w:sz w:val="21"/>
              </w:rPr>
              <w:t xml:space="preserve"> Meridian Mutual Lending Group</w:t>
            </w:r>
            <w:r>
              <w:rPr/>
              <w:br/>
            </w:r>
            <w:r>
              <w:rPr>
                <w:b/>
                <w:color w:val="1F2937"/>
                <w:sz w:val="21"/>
              </w:rPr>
              <w:t>Industry:</w:t>
            </w:r>
            <w:r>
              <w:rPr>
                <w:color w:val="1F2937"/>
                <w:sz w:val="21"/>
              </w:rPr>
              <w:t xml:space="preserve"> Regulated regional financial services</w:t>
            </w:r>
            <w:r>
              <w:rPr/>
              <w:br/>
            </w:r>
            <w:r>
              <w:rPr>
                <w:b/>
                <w:color w:val="1F2937"/>
                <w:sz w:val="21"/>
              </w:rPr>
              <w:t>Production target:</w:t>
            </w:r>
            <w:r>
              <w:rPr>
                <w:color w:val="1F2937"/>
                <w:sz w:val="21"/>
              </w:rPr>
              <w:t xml:space="preserve"> Q4 controlled launch</w:t>
            </w:r>
          </w:p>
        </w:tc>
        <w:tc>
          <w:tcPr>
            <w:tcW w:w="5182" w:type="dxa"/>
            <w:tcBorders>
              <w:top w:val="single" w:sz="8" w:space="0" w:color="CBD5E1"/>
              <w:left w:val="single" w:sz="8" w:space="0" w:color="CBD5E1"/>
              <w:bottom w:val="single" w:sz="8" w:space="0" w:color="CBD5E1"/>
              <w:right w:val="single" w:sz="8" w:space="0" w:color="CBD5E1"/>
            </w:tcBorders>
            <w:shd w:fill="F8FAFC"/>
          </w:tcPr>
          <w:p>
            <w:pPr>
              <w:pStyle w:val="Normal"/>
              <w:spacing w:before="0" w:after="0"/>
              <w:rPr/>
            </w:pPr>
            <w:r>
              <w:rPr>
                <w:b/>
                <w:color w:val="1F2937"/>
                <w:sz w:val="21"/>
              </w:rPr>
              <w:t>Role:</w:t>
            </w:r>
            <w:r>
              <w:rPr>
                <w:color w:val="1F2937"/>
                <w:sz w:val="21"/>
              </w:rPr>
              <w:t xml:space="preserve"> Senior AI Solutions Architect</w:t>
            </w:r>
            <w:r>
              <w:rPr/>
              <w:br/>
            </w:r>
            <w:r>
              <w:rPr>
                <w:b/>
                <w:color w:val="1F2937"/>
                <w:sz w:val="21"/>
              </w:rPr>
              <w:t>Audience:</w:t>
            </w:r>
            <w:r>
              <w:rPr>
                <w:color w:val="1F2937"/>
                <w:sz w:val="21"/>
              </w:rPr>
              <w:t xml:space="preserve"> Chief Risk Officer and launch governance committee</w:t>
            </w:r>
            <w:r>
              <w:rPr/>
              <w:br/>
            </w:r>
            <w:r>
              <w:rPr>
                <w:b/>
                <w:color w:val="1F2937"/>
                <w:sz w:val="21"/>
              </w:rPr>
              <w:t>Deliverable:</w:t>
            </w:r>
            <w:r>
              <w:rPr>
                <w:color w:val="1F2937"/>
                <w:sz w:val="21"/>
              </w:rPr>
              <w:t xml:space="preserve"> Integrated delivery architecture document</w:t>
            </w:r>
          </w:p>
        </w:tc>
      </w:tr>
    </w:tbl>
    <w:p>
      <w:pPr>
        <w:pStyle w:val="Normal"/>
        <w:spacing w:before="0" w:after="80"/>
        <w:rPr/>
      </w:pPr>
      <w:r>
        <w:rPr/>
      </w:r>
    </w:p>
    <w:p>
      <w:pPr>
        <w:pStyle w:val="Heading2"/>
        <w:pBdr>
          <w:bottom w:val="single" w:sz="6" w:space="4" w:color="CBD5E1"/>
        </w:pBdr>
        <w:spacing w:before="200" w:after="120"/>
        <w:rPr/>
      </w:pPr>
      <w:r>
        <w:rPr>
          <w:rFonts w:ascii="Aptos" w:hAnsi="Aptos"/>
          <w:color w:val="1F2937"/>
          <w:sz w:val="28"/>
        </w:rPr>
        <w:t>Overview and Business Context</w:t>
      </w:r>
    </w:p>
    <w:p>
      <w:pPr>
        <w:pStyle w:val="Normal"/>
        <w:spacing w:before="0" w:after="120"/>
        <w:rPr/>
      </w:pPr>
      <w:r>
        <w:rPr>
          <w:color w:val="1F2937"/>
          <w:sz w:val="21"/>
        </w:rPr>
        <w:t>Meridian Mutual Lending Group is preparing to launch an integrated AI platform that supports customer service, loan application support, agent-assisted servicing, and document classification for credit decisioning workflows. The Chief Risk Officer has requested a formal delivery architecture package before production approval. The package must demonstrate that the solution is governed end-to-end across Dynamics 365, Power Platform, Copilot Studio, and Microsoft Foundry.</w:t>
      </w:r>
    </w:p>
    <w:p>
      <w:pPr>
        <w:pStyle w:val="Normal"/>
        <w:spacing w:before="0" w:after="120"/>
        <w:rPr/>
      </w:pPr>
      <w:r>
        <w:rPr>
          <w:color w:val="1F2937"/>
          <w:sz w:val="21"/>
        </w:rPr>
        <w:t>The launch committee is focused on three concerns: whether customer-facing AI language is controlled, whether production changes are governed through auditable ALM gates, and whether the document classification model can be monitored for drift that could affect credit decisioning fairness or operational reliability.</w:t>
      </w:r>
    </w:p>
    <w:p>
      <w:pPr>
        <w:pStyle w:val="Heading2"/>
        <w:pBdr>
          <w:bottom w:val="single" w:sz="6" w:space="4" w:color="CBD5E1"/>
        </w:pBdr>
        <w:spacing w:before="200" w:after="120"/>
        <w:rPr/>
      </w:pPr>
      <w:r>
        <w:rPr>
          <w:rFonts w:ascii="Aptos" w:hAnsi="Aptos"/>
          <w:color w:val="1F2937"/>
          <w:sz w:val="28"/>
        </w:rPr>
        <w:t>Component 1: Dynamics 365 Customer Service Deployment Context</w:t>
      </w:r>
    </w:p>
    <w:p>
      <w:pPr>
        <w:pStyle w:val="Heading3"/>
        <w:spacing w:before="200" w:after="120"/>
        <w:rPr/>
      </w:pPr>
      <w:r>
        <w:rPr>
          <w:rFonts w:ascii="Aptos" w:hAnsi="Aptos"/>
          <w:color w:val="1F2937"/>
          <w:sz w:val="23"/>
        </w:rPr>
        <w:t>Business terminology and data semantics</w:t>
      </w:r>
    </w:p>
    <w:p>
      <w:pPr>
        <w:pStyle w:val="ListBullet"/>
        <w:numPr>
          <w:ilvl w:val="0"/>
          <w:numId w:val="1"/>
        </w:numPr>
        <w:spacing w:before="0" w:after="60"/>
        <w:contextualSpacing/>
        <w:rPr/>
      </w:pPr>
      <w:r>
        <w:rPr>
          <w:b/>
          <w:color w:val="1F2937"/>
          <w:sz w:val="21"/>
        </w:rPr>
        <w:t>Application status:</w:t>
      </w:r>
      <w:r>
        <w:rPr>
          <w:color w:val="1F2937"/>
          <w:sz w:val="21"/>
        </w:rPr>
        <w:t xml:space="preserve"> Internal teams use the terms </w:t>
      </w:r>
      <w:r>
        <w:rPr>
          <w:i/>
          <w:color w:val="1F2937"/>
          <w:sz w:val="21"/>
        </w:rPr>
        <w:t>Received</w:t>
      </w:r>
      <w:r>
        <w:rPr>
          <w:color w:val="1F2937"/>
          <w:sz w:val="21"/>
        </w:rPr>
        <w:t xml:space="preserve">, </w:t>
      </w:r>
      <w:r>
        <w:rPr>
          <w:i/>
          <w:color w:val="1F2937"/>
          <w:sz w:val="21"/>
        </w:rPr>
        <w:t>In Review</w:t>
      </w:r>
      <w:r>
        <w:rPr>
          <w:color w:val="1F2937"/>
          <w:sz w:val="21"/>
        </w:rPr>
        <w:t xml:space="preserve">, </w:t>
      </w:r>
      <w:r>
        <w:rPr>
          <w:i/>
          <w:color w:val="1F2937"/>
          <w:sz w:val="21"/>
        </w:rPr>
        <w:t>Pending Documentation</w:t>
      </w:r>
      <w:r>
        <w:rPr>
          <w:color w:val="1F2937"/>
          <w:sz w:val="21"/>
        </w:rPr>
        <w:t xml:space="preserve">, </w:t>
      </w:r>
      <w:r>
        <w:rPr>
          <w:i/>
          <w:color w:val="1F2937"/>
          <w:sz w:val="21"/>
        </w:rPr>
        <w:t>Conditional Approval</w:t>
      </w:r>
      <w:r>
        <w:rPr>
          <w:color w:val="1F2937"/>
          <w:sz w:val="21"/>
        </w:rPr>
        <w:t xml:space="preserve">, </w:t>
      </w:r>
      <w:r>
        <w:rPr>
          <w:i/>
          <w:color w:val="1F2937"/>
          <w:sz w:val="21"/>
        </w:rPr>
        <w:t>Declined</w:t>
      </w:r>
      <w:r>
        <w:rPr>
          <w:color w:val="1F2937"/>
          <w:sz w:val="21"/>
        </w:rPr>
        <w:t xml:space="preserve">, and </w:t>
      </w:r>
      <w:r>
        <w:rPr>
          <w:i/>
          <w:color w:val="1F2937"/>
          <w:sz w:val="21"/>
        </w:rPr>
        <w:t>Funded</w:t>
      </w:r>
      <w:r>
        <w:rPr>
          <w:color w:val="1F2937"/>
          <w:sz w:val="21"/>
        </w:rPr>
        <w:t>. Customer-facing AI must not use informal alternatives such as “almost approved” or “probably declined.”</w:t>
      </w:r>
    </w:p>
    <w:p>
      <w:pPr>
        <w:pStyle w:val="ListBullet"/>
        <w:numPr>
          <w:ilvl w:val="0"/>
          <w:numId w:val="1"/>
        </w:numPr>
        <w:spacing w:before="0" w:after="60"/>
        <w:contextualSpacing/>
        <w:rPr/>
      </w:pPr>
      <w:r>
        <w:rPr>
          <w:b/>
          <w:color w:val="1F2937"/>
          <w:sz w:val="21"/>
        </w:rPr>
        <w:t>Hardship indicator:</w:t>
      </w:r>
      <w:r>
        <w:rPr>
          <w:color w:val="1F2937"/>
          <w:sz w:val="21"/>
        </w:rPr>
        <w:t xml:space="preserve"> A customer record can include a regulated hardship flag. AI assistance may explain next procedural steps but must not predict eligibility for hardship relief.</w:t>
      </w:r>
    </w:p>
    <w:p>
      <w:pPr>
        <w:pStyle w:val="ListBullet"/>
        <w:numPr>
          <w:ilvl w:val="0"/>
          <w:numId w:val="1"/>
        </w:numPr>
        <w:spacing w:before="0" w:after="60"/>
        <w:contextualSpacing/>
        <w:rPr/>
      </w:pPr>
      <w:r>
        <w:rPr>
          <w:b/>
          <w:color w:val="1F2937"/>
          <w:sz w:val="21"/>
        </w:rPr>
        <w:t>Credit decision reason code:</w:t>
      </w:r>
      <w:r>
        <w:rPr>
          <w:color w:val="1F2937"/>
          <w:sz w:val="21"/>
        </w:rPr>
        <w:t xml:space="preserve"> Reason codes are imported from the loan origination system and must be shown exactly as recorded. The AI must not reinterpret reason codes or create new labels.</w:t>
      </w:r>
    </w:p>
    <w:p>
      <w:pPr>
        <w:pStyle w:val="Heading3"/>
        <w:spacing w:before="200" w:after="120"/>
        <w:rPr/>
      </w:pPr>
      <w:r>
        <w:rPr>
          <w:rFonts w:ascii="Aptos" w:hAnsi="Aptos"/>
          <w:color w:val="1F2937"/>
          <w:sz w:val="23"/>
        </w:rPr>
        <w:t>Customer engagement and response constraints</w:t>
      </w:r>
    </w:p>
    <w:p>
      <w:pPr>
        <w:pStyle w:val="ListBullet"/>
        <w:numPr>
          <w:ilvl w:val="0"/>
          <w:numId w:val="1"/>
        </w:numPr>
        <w:spacing w:before="0" w:after="60"/>
        <w:contextualSpacing/>
        <w:rPr/>
      </w:pPr>
      <w:r>
        <w:rPr>
          <w:color w:val="1F2937"/>
          <w:sz w:val="21"/>
        </w:rPr>
        <w:t>Copilot responses must include a disclosure when summarizing loan status information: “This summary is based on currently available account data.”</w:t>
      </w:r>
    </w:p>
    <w:p>
      <w:pPr>
        <w:pStyle w:val="ListBullet"/>
        <w:numPr>
          <w:ilvl w:val="0"/>
          <w:numId w:val="1"/>
        </w:numPr>
        <w:spacing w:before="0" w:after="60"/>
        <w:contextualSpacing/>
        <w:rPr/>
      </w:pPr>
      <w:r>
        <w:rPr>
          <w:color w:val="1F2937"/>
          <w:sz w:val="21"/>
        </w:rPr>
        <w:t>AI responses must not provide credit approval predictions, legal advice, or adverse-action explanations beyond approved knowledge article language.</w:t>
      </w:r>
    </w:p>
    <w:p>
      <w:pPr>
        <w:pStyle w:val="ListBullet"/>
        <w:numPr>
          <w:ilvl w:val="0"/>
          <w:numId w:val="1"/>
        </w:numPr>
        <w:spacing w:before="0" w:after="60"/>
        <w:contextualSpacing/>
        <w:rPr/>
      </w:pPr>
      <w:r>
        <w:rPr>
          <w:color w:val="1F2937"/>
          <w:sz w:val="21"/>
        </w:rPr>
        <w:t>Escalation is required when the customer mentions hardship, complaint intent, fraud, identity mismatch, or imminent closing deadlines.</w:t>
      </w:r>
    </w:p>
    <w:p>
      <w:pPr>
        <w:pStyle w:val="Heading3"/>
        <w:spacing w:before="200" w:after="120"/>
        <w:rPr/>
      </w:pPr>
      <w:r>
        <w:rPr>
          <w:rFonts w:ascii="Aptos" w:hAnsi="Aptos"/>
          <w:color w:val="1F2937"/>
          <w:sz w:val="23"/>
        </w:rPr>
        <w:t>Contact Center routing logic</w:t>
      </w:r>
    </w:p>
    <w:p>
      <w:pPr>
        <w:pStyle w:val="Normal"/>
        <w:spacing w:before="0" w:after="120"/>
        <w:rPr/>
      </w:pPr>
      <w:r>
        <w:rPr>
          <w:color w:val="1F2937"/>
          <w:sz w:val="21"/>
        </w:rPr>
        <w:t>The highest-risk path is a customer contacting support through chat about a pending loan application while a hardship flag is present. The current design preserves chat context, application ID, hardship flag, and last authenticated contact channel, then routes the session to a licensed servicing specialist queue with supervisor visibility.</w:t>
      </w:r>
    </w:p>
    <w:p>
      <w:pPr>
        <w:pStyle w:val="Heading2"/>
        <w:pBdr>
          <w:bottom w:val="single" w:sz="6" w:space="4" w:color="CBD5E1"/>
        </w:pBdr>
        <w:spacing w:before="200" w:after="120"/>
        <w:rPr/>
      </w:pPr>
      <w:r>
        <w:rPr>
          <w:rFonts w:ascii="Aptos" w:hAnsi="Aptos"/>
          <w:color w:val="1F2937"/>
          <w:sz w:val="28"/>
        </w:rPr>
        <w:t>Component 2: Power Apps Canvas App Technical Blueprint</w:t>
      </w:r>
    </w:p>
    <w:p>
      <w:pPr>
        <w:pStyle w:val="Normal"/>
        <w:spacing w:before="0" w:after="120"/>
        <w:rPr/>
      </w:pPr>
      <w:r>
        <w:rPr>
          <w:color w:val="1F2937"/>
          <w:sz w:val="21"/>
        </w:rPr>
        <w:t>The internal servicing canvas app is used by relationship managers and servicing associates. It contains embedded AI support for summarizing recent customer interactions, drafting follow-up notes, and classifying missing-document requests. AI Hub components are embedded through managed solution layers and invoke approved prompts through environment variables.</w:t>
      </w:r>
    </w:p>
    <w:tbl>
      <w:tblPr>
        <w:tblW w:w="10368" w:type="dxa"/>
        <w:jc w:val="center"/>
        <w:tblInd w:w="0" w:type="dxa"/>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Component</w:t>
            </w:r>
          </w:p>
        </w:tc>
        <w:tc>
          <w:tcPr>
            <w:tcW w:w="3456"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Current Design</w:t>
            </w:r>
          </w:p>
        </w:tc>
        <w:tc>
          <w:tcPr>
            <w:tcW w:w="3456"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Known Issue</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Customer Summary AI card</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Uses AI Builder prompt to summarize recent service interactions.</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Prompt input includes more fields than needed, including internal servicing comments.</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Missing Document Classifier</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Classifies uploaded PDF requests into income, identity, collateral, and disclosure categories.</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Classifier output is not logged with model version in the current telemetry table.</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Follow-up Note Drafting</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Uses controlled prompt template stored in environment variable.</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No maker-facing guidance appears when the prompt fails safe content checks.</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Power Automate flow</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Submits AI-generated note to Dataverse after user confirmation.</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Flow currently uses a broad service account connection instead of least-privilege connection reference.</w:t>
            </w:r>
          </w:p>
        </w:tc>
      </w:tr>
    </w:tbl>
    <w:p>
      <w:pPr>
        <w:pStyle w:val="Normal"/>
        <w:spacing w:before="0" w:after="40"/>
        <w:rPr/>
      </w:pPr>
      <w:r>
        <w:rPr/>
      </w:r>
    </w:p>
    <w:p>
      <w:pPr>
        <w:pStyle w:val="Heading2"/>
        <w:pBdr>
          <w:bottom w:val="single" w:sz="6" w:space="4" w:color="CBD5E1"/>
        </w:pBdr>
        <w:spacing w:before="200" w:after="120"/>
        <w:rPr/>
      </w:pPr>
      <w:r>
        <w:rPr>
          <w:rFonts w:ascii="Aptos" w:hAnsi="Aptos"/>
          <w:color w:val="1F2937"/>
          <w:sz w:val="28"/>
        </w:rPr>
        <w:t>Component 3: Copilot Studio Agent Solution Description</w:t>
      </w:r>
    </w:p>
    <w:p>
      <w:pPr>
        <w:pStyle w:val="Normal"/>
        <w:spacing w:before="0" w:after="120"/>
        <w:rPr/>
      </w:pPr>
      <w:r>
        <w:rPr>
          <w:color w:val="1F2937"/>
          <w:sz w:val="21"/>
        </w:rPr>
        <w:t>The Copilot Studio solution includes three specialist agents packaged as managed solutions and deployed through development, test, pre-production, and production environments.</w:t>
      </w:r>
    </w:p>
    <w:tbl>
      <w:tblPr>
        <w:tblW w:w="10368" w:type="dxa"/>
        <w:jc w:val="center"/>
        <w:tblInd w:w="0" w:type="dxa"/>
        <w:tblCellMar>
          <w:top w:w="0" w:type="dxa"/>
          <w:left w:w="108" w:type="dxa"/>
          <w:bottom w:w="0" w:type="dxa"/>
          <w:right w:w="108" w:type="dxa"/>
        </w:tblCellMar>
        <w:tblLook w:val="04a0" w:noHBand="0" w:noVBand="1" w:firstColumn="1" w:lastRow="0" w:lastColumn="0" w:firstRow="1"/>
      </w:tblPr>
      <w:tblGrid>
        <w:gridCol w:w="3456"/>
        <w:gridCol w:w="3456"/>
        <w:gridCol w:w="3456"/>
      </w:tblGrid>
      <w:tr>
        <w:trPr/>
        <w:tc>
          <w:tcPr>
            <w:tcW w:w="3456"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Agent</w:t>
            </w:r>
          </w:p>
        </w:tc>
        <w:tc>
          <w:tcPr>
            <w:tcW w:w="3456"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Function</w:t>
            </w:r>
          </w:p>
        </w:tc>
        <w:tc>
          <w:tcPr>
            <w:tcW w:w="3456"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Connections</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Servicing Triage Agent</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Collects issue type, authenticates application context, and routes to proper queue.</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Dataverse, D365 Customer Service, approved knowledge articles.</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Document Request Agent</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Explains missing-document requests using controlled language.</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Dataverse, loan origination status API, knowledge base.</w:t>
            </w:r>
          </w:p>
        </w:tc>
      </w:tr>
      <w:tr>
        <w:trPr/>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Branch Support Agent</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Assists internal branch staff with policy navigation and next-step guidance.</w:t>
            </w:r>
          </w:p>
        </w:tc>
        <w:tc>
          <w:tcPr>
            <w:tcW w:w="3456"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SharePoint policy library, Dataverse reference tables.</w:t>
            </w:r>
          </w:p>
        </w:tc>
      </w:tr>
    </w:tbl>
    <w:p>
      <w:pPr>
        <w:pStyle w:val="Normal"/>
        <w:spacing w:before="0" w:after="40"/>
        <w:rPr/>
      </w:pPr>
      <w:r>
        <w:rPr/>
      </w:r>
    </w:p>
    <w:p>
      <w:pPr>
        <w:pStyle w:val="Heading3"/>
        <w:spacing w:before="200" w:after="120"/>
        <w:rPr/>
      </w:pPr>
      <w:r>
        <w:rPr>
          <w:rFonts w:ascii="Aptos" w:hAnsi="Aptos"/>
          <w:color w:val="1F2937"/>
          <w:sz w:val="23"/>
        </w:rPr>
        <w:t>Environment strategy notes</w:t>
      </w:r>
    </w:p>
    <w:p>
      <w:pPr>
        <w:pStyle w:val="ListBullet"/>
        <w:numPr>
          <w:ilvl w:val="0"/>
          <w:numId w:val="1"/>
        </w:numPr>
        <w:spacing w:before="0" w:after="60"/>
        <w:contextualSpacing/>
        <w:rPr/>
      </w:pPr>
      <w:r>
        <w:rPr>
          <w:color w:val="1F2937"/>
          <w:sz w:val="21"/>
        </w:rPr>
        <w:t>Connection references are required for Dataverse, SharePoint, and the loan origination status API.</w:t>
      </w:r>
    </w:p>
    <w:p>
      <w:pPr>
        <w:pStyle w:val="ListBullet"/>
        <w:numPr>
          <w:ilvl w:val="0"/>
          <w:numId w:val="1"/>
        </w:numPr>
        <w:spacing w:before="0" w:after="60"/>
        <w:contextualSpacing/>
        <w:rPr/>
      </w:pPr>
      <w:r>
        <w:rPr>
          <w:color w:val="1F2937"/>
          <w:sz w:val="21"/>
        </w:rPr>
        <w:t>Environment variables store non-secret configuration such as API base URL, knowledge collection ID, escalation queue IDs, and telemetry workspace name.</w:t>
      </w:r>
    </w:p>
    <w:p>
      <w:pPr>
        <w:pStyle w:val="ListBullet"/>
        <w:numPr>
          <w:ilvl w:val="0"/>
          <w:numId w:val="1"/>
        </w:numPr>
        <w:spacing w:before="0" w:after="60"/>
        <w:contextualSpacing/>
        <w:rPr/>
      </w:pPr>
      <w:r>
        <w:rPr>
          <w:color w:val="1F2937"/>
          <w:sz w:val="21"/>
        </w:rPr>
        <w:t>Secrets must remain in managed connection configuration or approved secret storage, not in environment variable text fields.</w:t>
      </w:r>
    </w:p>
    <w:p>
      <w:pPr>
        <w:pStyle w:val="ListBullet"/>
        <w:numPr>
          <w:ilvl w:val="0"/>
          <w:numId w:val="1"/>
        </w:numPr>
        <w:spacing w:before="0" w:after="60"/>
        <w:contextualSpacing/>
        <w:rPr/>
      </w:pPr>
      <w:r>
        <w:rPr>
          <w:color w:val="1F2937"/>
          <w:sz w:val="21"/>
        </w:rPr>
        <w:t>Production deployment requires CAB approval after security regression, prompt safety checks, and integration test evidence are complete.</w:t>
      </w:r>
    </w:p>
    <w:p>
      <w:pPr>
        <w:pStyle w:val="ListBullet"/>
        <w:numPr>
          <w:ilvl w:val="0"/>
          <w:numId w:val="1"/>
        </w:numPr>
        <w:spacing w:before="0" w:after="60"/>
        <w:contextualSpacing/>
        <w:rPr/>
      </w:pPr>
      <w:r>
        <w:rPr>
          <w:color w:val="1F2937"/>
          <w:sz w:val="21"/>
        </w:rPr>
        <w:t>Rollback must restore the previous managed solution version and associated prompt/environment variable values.</w:t>
      </w:r>
    </w:p>
    <w:p>
      <w:pPr>
        <w:pStyle w:val="Heading2"/>
        <w:pBdr>
          <w:bottom w:val="single" w:sz="6" w:space="4" w:color="CBD5E1"/>
        </w:pBdr>
        <w:spacing w:before="200" w:after="120"/>
        <w:rPr/>
      </w:pPr>
      <w:r>
        <w:rPr>
          <w:rFonts w:ascii="Aptos" w:hAnsi="Aptos"/>
          <w:color w:val="1F2937"/>
          <w:sz w:val="28"/>
        </w:rPr>
        <w:t>Component 4: Microsoft Foundry Document Classification Model Specification</w:t>
      </w:r>
    </w:p>
    <w:p>
      <w:pPr>
        <w:pStyle w:val="Normal"/>
        <w:spacing w:before="0" w:after="120"/>
        <w:rPr/>
      </w:pPr>
      <w:r>
        <w:rPr>
          <w:color w:val="1F2937"/>
          <w:sz w:val="21"/>
        </w:rPr>
        <w:t>The Microsoft Foundry component classifies financial application documents to support document routing and completeness checks. It is not the final credit decision model. The model outputs document category, confidence score, extracted key fields, and review recommendation.</w:t>
      </w:r>
    </w:p>
    <w:tbl>
      <w:tblPr>
        <w:tblW w:w="10368" w:type="dxa"/>
        <w:jc w:val="center"/>
        <w:tblInd w:w="0" w:type="dxa"/>
        <w:tblCellMar>
          <w:top w:w="0" w:type="dxa"/>
          <w:left w:w="108" w:type="dxa"/>
          <w:bottom w:w="0" w:type="dxa"/>
          <w:right w:w="108" w:type="dxa"/>
        </w:tblCellMar>
        <w:tblLook w:val="04a0" w:noHBand="0" w:noVBand="1" w:firstColumn="1" w:lastRow="0" w:lastColumn="0" w:firstRow="1"/>
      </w:tblPr>
      <w:tblGrid>
        <w:gridCol w:w="5185"/>
        <w:gridCol w:w="5182"/>
      </w:tblGrid>
      <w:tr>
        <w:trPr/>
        <w:tc>
          <w:tcPr>
            <w:tcW w:w="5185"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Area</w:t>
            </w:r>
          </w:p>
        </w:tc>
        <w:tc>
          <w:tcPr>
            <w:tcW w:w="5182" w:type="dxa"/>
            <w:tcBorders>
              <w:top w:val="single" w:sz="8" w:space="0" w:color="CBD5E1"/>
              <w:left w:val="single" w:sz="8" w:space="0" w:color="CBD5E1"/>
              <w:bottom w:val="single" w:sz="8" w:space="0" w:color="CBD5E1"/>
              <w:right w:val="single" w:sz="8" w:space="0" w:color="CBD5E1"/>
            </w:tcBorders>
            <w:shd w:fill="EAF2F8"/>
          </w:tcPr>
          <w:p>
            <w:pPr>
              <w:pStyle w:val="Normal"/>
              <w:spacing w:before="0" w:after="0"/>
              <w:rPr/>
            </w:pPr>
            <w:r>
              <w:rPr>
                <w:b/>
                <w:color w:val="17365D"/>
                <w:sz w:val="21"/>
              </w:rPr>
              <w:t>Specification</w:t>
            </w:r>
          </w:p>
        </w:tc>
      </w:tr>
      <w:tr>
        <w:trPr/>
        <w:tc>
          <w:tcPr>
            <w:tcW w:w="5185"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Model</w:t>
            </w:r>
          </w:p>
        </w:tc>
        <w:tc>
          <w:tcPr>
            <w:tcW w:w="5182"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Custom document classification model exposed through a Foundry agent workflow.</w:t>
            </w:r>
          </w:p>
        </w:tc>
      </w:tr>
      <w:tr>
        <w:trPr/>
        <w:tc>
          <w:tcPr>
            <w:tcW w:w="5185"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Document classes</w:t>
            </w:r>
          </w:p>
        </w:tc>
        <w:tc>
          <w:tcPr>
            <w:tcW w:w="5182"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Income verification, identity proof, collateral valuation, disclosure acknowledgement, unsupported document.</w:t>
            </w:r>
          </w:p>
        </w:tc>
      </w:tr>
      <w:tr>
        <w:trPr/>
        <w:tc>
          <w:tcPr>
            <w:tcW w:w="5185"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Training data</w:t>
            </w:r>
          </w:p>
        </w:tc>
        <w:tc>
          <w:tcPr>
            <w:tcW w:w="5182"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48,000 synthetic and historical reviewed documents, balanced by application type and region.</w:t>
            </w:r>
          </w:p>
        </w:tc>
      </w:tr>
      <w:tr>
        <w:trPr/>
        <w:tc>
          <w:tcPr>
            <w:tcW w:w="5185"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Current performance</w:t>
            </w:r>
          </w:p>
        </w:tc>
        <w:tc>
          <w:tcPr>
            <w:tcW w:w="5182"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Overall F1: 0.91; lowest segment F1: 0.84 for self-employed income documents; manual review override rate: 8.7%.</w:t>
            </w:r>
          </w:p>
        </w:tc>
      </w:tr>
      <w:tr>
        <w:trPr/>
        <w:tc>
          <w:tcPr>
            <w:tcW w:w="5185"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Regulated context</w:t>
            </w:r>
          </w:p>
        </w:tc>
        <w:tc>
          <w:tcPr>
            <w:tcW w:w="5182" w:type="dxa"/>
            <w:tcBorders>
              <w:top w:val="single" w:sz="8" w:space="0" w:color="CBD5E1"/>
              <w:left w:val="single" w:sz="8" w:space="0" w:color="CBD5E1"/>
              <w:bottom w:val="single" w:sz="8" w:space="0" w:color="CBD5E1"/>
              <w:right w:val="single" w:sz="8" w:space="0" w:color="CBD5E1"/>
            </w:tcBorders>
          </w:tcPr>
          <w:p>
            <w:pPr>
              <w:pStyle w:val="Normal"/>
              <w:spacing w:before="0" w:after="0"/>
              <w:rPr/>
            </w:pPr>
            <w:r>
              <w:rPr>
                <w:b w:val="false"/>
                <w:color w:val="1F2937"/>
                <w:sz w:val="21"/>
              </w:rPr>
              <w:t>Credit application support. Performance disparity monitoring is required for document groups connected to protected or proxy customer attributes.</w:t>
            </w:r>
          </w:p>
        </w:tc>
      </w:tr>
    </w:tbl>
    <w:p>
      <w:pPr>
        <w:pStyle w:val="Normal"/>
        <w:spacing w:before="0" w:after="40"/>
        <w:rPr/>
      </w:pPr>
      <w:r>
        <w:rPr/>
      </w:r>
    </w:p>
    <w:p>
      <w:pPr>
        <w:pStyle w:val="Heading3"/>
        <w:spacing w:before="200" w:after="120"/>
        <w:rPr/>
      </w:pPr>
      <w:r>
        <w:rPr>
          <w:rFonts w:ascii="Aptos" w:hAnsi="Aptos"/>
          <w:color w:val="1F2937"/>
          <w:sz w:val="23"/>
        </w:rPr>
        <w:t>Lifecycle constraints</w:t>
      </w:r>
    </w:p>
    <w:p>
      <w:pPr>
        <w:pStyle w:val="ListBullet"/>
        <w:numPr>
          <w:ilvl w:val="0"/>
          <w:numId w:val="1"/>
        </w:numPr>
        <w:spacing w:before="0" w:after="60"/>
        <w:contextualSpacing/>
        <w:rPr/>
      </w:pPr>
      <w:r>
        <w:rPr>
          <w:color w:val="1F2937"/>
          <w:sz w:val="21"/>
        </w:rPr>
        <w:t>Major versions are required when document class definitions, decisioning workflow impact, or supported document groups change.</w:t>
      </w:r>
    </w:p>
    <w:p>
      <w:pPr>
        <w:pStyle w:val="ListBullet"/>
        <w:numPr>
          <w:ilvl w:val="0"/>
          <w:numId w:val="1"/>
        </w:numPr>
        <w:spacing w:before="0" w:after="60"/>
        <w:contextualSpacing/>
        <w:rPr/>
      </w:pPr>
      <w:r>
        <w:rPr>
          <w:color w:val="1F2937"/>
          <w:sz w:val="21"/>
        </w:rPr>
        <w:t>Minor versions are appropriate when extraction quality improves without changing downstream category semantics.</w:t>
      </w:r>
    </w:p>
    <w:p>
      <w:pPr>
        <w:pStyle w:val="ListBullet"/>
        <w:numPr>
          <w:ilvl w:val="0"/>
          <w:numId w:val="1"/>
        </w:numPr>
        <w:spacing w:before="0" w:after="60"/>
        <w:contextualSpacing/>
        <w:rPr/>
      </w:pPr>
      <w:r>
        <w:rPr>
          <w:color w:val="1F2937"/>
          <w:sz w:val="21"/>
        </w:rPr>
        <w:t>Patch versions are appropriate for prompt wording, telemetry field mapping, or non-behavioral workflow fixes.</w:t>
      </w:r>
    </w:p>
    <w:p>
      <w:pPr>
        <w:pStyle w:val="ListBullet"/>
        <w:numPr>
          <w:ilvl w:val="0"/>
          <w:numId w:val="1"/>
        </w:numPr>
        <w:spacing w:before="0" w:after="60"/>
        <w:contextualSpacing/>
        <w:rPr/>
      </w:pPr>
      <w:r>
        <w:rPr>
          <w:color w:val="1F2937"/>
          <w:sz w:val="21"/>
        </w:rPr>
        <w:t>Promotion gates must include segment-level performance comparison, reviewer override analysis, and drift metric review.</w:t>
      </w:r>
    </w:p>
    <w:p>
      <w:pPr>
        <w:pStyle w:val="ListBullet"/>
        <w:numPr>
          <w:ilvl w:val="0"/>
          <w:numId w:val="1"/>
        </w:numPr>
        <w:spacing w:before="0" w:after="60"/>
        <w:contextualSpacing/>
        <w:rPr/>
      </w:pPr>
      <w:r>
        <w:rPr>
          <w:color w:val="1F2937"/>
          <w:sz w:val="21"/>
        </w:rPr>
        <w:t>Drift monitoring must include document-class distribution shift, confidence score distribution shift, and reviewer override-rate change.</w:t>
      </w:r>
    </w:p>
    <w:p>
      <w:pPr>
        <w:pStyle w:val="ListBullet"/>
        <w:numPr>
          <w:ilvl w:val="0"/>
          <w:numId w:val="0"/>
        </w:numPr>
        <w:spacing w:before="0" w:after="60"/>
        <w:ind w:left="360" w:hanging="0"/>
        <w:contextualSpacing/>
        <w:rPr>
          <w:rFonts w:ascii="Aptos" w:hAnsi="Aptos"/>
          <w:color w:val="1F2937"/>
          <w:sz w:val="21"/>
        </w:rPr>
      </w:pPr>
      <w:r>
        <w:rPr>
          <w:color w:val="1F2937"/>
          <w:sz w:val="21"/>
        </w:rPr>
      </w:r>
    </w:p>
    <w:p>
      <w:pPr>
        <w:pStyle w:val="Normal"/>
        <w:pBdr>
          <w:bottom w:val="single" w:sz="6" w:space="4" w:color="E5E7EB"/>
        </w:pBdr>
        <w:spacing w:before="0" w:after="120"/>
        <w:rPr/>
      </w:pPr>
      <w:r>
        <w:rPr>
          <w:color w:val="64748B"/>
          <w:sz w:val="18"/>
        </w:rPr>
        <w:t>Prepared for Meridian Mutual Lending Group production launch readiness review.</w:t>
      </w:r>
    </w:p>
    <w:sectPr>
      <w:type w:val="nextPage"/>
      <w:pgSz w:w="12240" w:h="15840"/>
      <w:pgMar w:left="936" w:right="936" w:header="0" w:top="936" w:footer="0" w:bottom="936"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Aptos" w:hAnsi="Aptos" w:eastAsia="ＭＳ 明朝" w:cs=""/>
      <w:color w:val="1F2937"/>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80"/>
      <w:outlineLvl w:val="0"/>
    </w:pPr>
    <w:rPr>
      <w:rFonts w:ascii="Calibri" w:hAnsi="Calibri" w:eastAsia="ＭＳ ゴシック" w:cs="" w:asciiTheme="majorHAnsi" w:cstheme="majorBidi" w:eastAsiaTheme="majorEastAsia" w:hAnsiTheme="majorHAnsi"/>
      <w:b/>
      <w:bCs/>
      <w:color w:val="17365D"/>
      <w:sz w:val="44"/>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1F4E79"/>
      <w:sz w:val="28"/>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ＭＳ ゴシック" w:cs="" w:asciiTheme="majorHAnsi" w:cstheme="majorBidi" w:eastAsiaTheme="majorEastAsia" w:hAnsiTheme="majorHAnsi"/>
      <w:b/>
      <w:bCs/>
      <w:color w:val="37415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1"/>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120"/>
      <w:contextualSpacing/>
    </w:pPr>
    <w:rPr/>
  </w:style>
  <w:style w:type="paragraph" w:styleId="ListBullet4">
    <w:name w:val="List Bullet 4"/>
    <w:basedOn w:val="Normal"/>
    <w:uiPriority w:val="99"/>
    <w:unhideWhenUsed/>
    <w:qFormat/>
    <w:rsid w:val="00326f90"/>
    <w:pPr>
      <w:spacing w:before="0" w:after="120"/>
      <w:ind w:left="1080" w:hanging="360"/>
      <w:contextualSpacing/>
    </w:pPr>
    <w:rPr/>
  </w:style>
  <w:style w:type="paragraph" w:styleId="ListBullet">
    <w:name w:val="List Bullet"/>
    <w:basedOn w:val="Normal"/>
    <w:uiPriority w:val="99"/>
    <w:unhideWhenUsed/>
    <w:qFormat/>
    <w:rsid w:val="00326f90"/>
    <w:pPr>
      <w:spacing w:before="0" w:after="120"/>
      <w:contextualSpacing/>
    </w:pPr>
    <w:rPr/>
  </w:style>
  <w:style w:type="paragraph" w:styleId="ListBullet2">
    <w:name w:val="List Bullet 2"/>
    <w:basedOn w:val="Normal"/>
    <w:uiPriority w:val="99"/>
    <w:unhideWhenUsed/>
    <w:qFormat/>
    <w:rsid w:val="00326f90"/>
    <w:pPr>
      <w:spacing w:before="0" w:after="120"/>
      <w:contextualSpacing/>
    </w:pPr>
    <w:rPr/>
  </w:style>
  <w:style w:type="paragraph" w:styleId="ListNumber">
    <w:name w:val="List Number"/>
    <w:basedOn w:val="Normal"/>
    <w:uiPriority w:val="99"/>
    <w:unhideWhenUsed/>
    <w:qFormat/>
    <w:rsid w:val="00326f90"/>
    <w:pPr>
      <w:spacing w:before="0" w:after="120"/>
      <w:contextualSpacing/>
    </w:pPr>
    <w:rPr/>
  </w:style>
  <w:style w:type="paragraph" w:styleId="ListNumber2">
    <w:name w:val="List Number 2"/>
    <w:basedOn w:val="Normal"/>
    <w:uiPriority w:val="99"/>
    <w:unhideWhenUsed/>
    <w:qFormat/>
    <w:rsid w:val="0029639d"/>
    <w:pPr>
      <w:spacing w:before="0" w:after="120"/>
      <w:contextualSpacing/>
    </w:pPr>
    <w:rPr/>
  </w:style>
  <w:style w:type="paragraph" w:styleId="ListNumber3">
    <w:name w:val="List Number 3"/>
    <w:basedOn w:val="Normal"/>
    <w:uiPriority w:val="99"/>
    <w:unhideWhenUsed/>
    <w:qFormat/>
    <w:rsid w:val="0029639d"/>
    <w:p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LibreOffice/6.4.7.2$Linux_X86_64 LibreOffice_project/40$Build-2</Application>
  <Pages>4</Pages>
  <Words>918</Words>
  <Characters>6147</Characters>
  <CharactersWithSpaces>6973</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Gaurab Patra</cp:lastModifiedBy>
  <dcterms:modified xsi:type="dcterms:W3CDTF">2026-09-25T08:47:48Z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